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7870F" w14:textId="77777777" w:rsidR="005C7D03" w:rsidRDefault="005C7D03" w:rsidP="005C7D03">
      <w:pPr>
        <w:pStyle w:val="Adresa"/>
        <w:ind w:left="5103"/>
        <w:rPr>
          <w:b w:val="0"/>
          <w:szCs w:val="20"/>
        </w:rPr>
      </w:pP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3396"/>
        <w:gridCol w:w="1604"/>
        <w:gridCol w:w="1860"/>
      </w:tblGrid>
      <w:tr w:rsidR="001274BE" w:rsidRPr="001274BE" w14:paraId="55F67232" w14:textId="77777777" w:rsidTr="00ED16C8">
        <w:trPr>
          <w:trHeight w:val="870"/>
        </w:trPr>
        <w:tc>
          <w:tcPr>
            <w:tcW w:w="9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14:paraId="2C47B4F9" w14:textId="39A368AA" w:rsidR="00867B68" w:rsidRPr="001274BE" w:rsidRDefault="00356E1F" w:rsidP="000A58D7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INFORMACE K NOVELE ZÁKONA O VEŘEJNÝCH SBÍRKÁCH</w:t>
            </w:r>
          </w:p>
        </w:tc>
      </w:tr>
      <w:tr w:rsidR="001274BE" w:rsidRPr="001274BE" w14:paraId="78FC5F51" w14:textId="77777777" w:rsidTr="00ED16C8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298978" w14:textId="77777777" w:rsid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eastAsia="Times New Roman" w:cs="Calibri"/>
                <w:color w:val="FFFFFF"/>
                <w:kern w:val="0"/>
                <w:sz w:val="22"/>
                <w:szCs w:val="22"/>
                <w:lang w:eastAsia="cs-CZ"/>
              </w:rPr>
            </w:pPr>
          </w:p>
          <w:p w14:paraId="6A87DBC7" w14:textId="77777777" w:rsidR="00D513FE" w:rsidRPr="001274BE" w:rsidRDefault="00D513F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eastAsia="Times New Roman" w:cs="Calibri"/>
                <w:color w:val="FFFFFF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7458B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3E70D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39372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</w:tr>
    </w:tbl>
    <w:p w14:paraId="53C756F6" w14:textId="0F4B8E2C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color w:val="auto"/>
        </w:rPr>
        <w:t>Dne 1. ledna 2025 nabývá účinnosti zákon č. 239/2024 Sb.</w:t>
      </w:r>
      <w:r w:rsidR="00134978">
        <w:rPr>
          <w:color w:val="auto"/>
        </w:rPr>
        <w:t>,</w:t>
      </w:r>
      <w:r w:rsidRPr="00356E1F">
        <w:rPr>
          <w:color w:val="auto"/>
        </w:rPr>
        <w:t xml:space="preserve"> </w:t>
      </w:r>
      <w:r w:rsidRPr="00356E1F">
        <w:rPr>
          <w:rFonts w:cs="Arial"/>
          <w:color w:val="auto"/>
          <w:kern w:val="0"/>
        </w:rPr>
        <w:t xml:space="preserve">kterým se mění zákon č. </w:t>
      </w:r>
      <w:hyperlink r:id="rId12" w:history="1">
        <w:r w:rsidRPr="00B22FB4">
          <w:rPr>
            <w:rFonts w:cs="Arial"/>
            <w:color w:val="auto"/>
            <w:kern w:val="0"/>
          </w:rPr>
          <w:t>117/2001 Sb.</w:t>
        </w:r>
      </w:hyperlink>
      <w:r w:rsidRPr="00356E1F">
        <w:rPr>
          <w:rFonts w:cs="Arial"/>
          <w:color w:val="auto"/>
          <w:kern w:val="0"/>
        </w:rPr>
        <w:t xml:space="preserve">, </w:t>
      </w:r>
      <w:r w:rsidR="00B22FB4">
        <w:rPr>
          <w:rFonts w:cs="Arial"/>
          <w:color w:val="auto"/>
          <w:kern w:val="0"/>
        </w:rPr>
        <w:t xml:space="preserve">                   </w:t>
      </w:r>
      <w:r w:rsidRPr="00356E1F">
        <w:rPr>
          <w:rFonts w:cs="Arial"/>
          <w:color w:val="auto"/>
          <w:kern w:val="0"/>
        </w:rPr>
        <w:t xml:space="preserve">o veřejných sbírkách a o změně některých zákonů (zákon o veřejných sbírkách), ve znění pozdějších předpisů (dále jen novela zákona o veřejných sbírkách).  </w:t>
      </w:r>
    </w:p>
    <w:p w14:paraId="2160016C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color w:val="auto"/>
        </w:rPr>
      </w:pPr>
    </w:p>
    <w:p w14:paraId="7B234ED8" w14:textId="77777777" w:rsid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color w:val="auto"/>
        </w:rPr>
      </w:pPr>
      <w:r w:rsidRPr="00356E1F">
        <w:rPr>
          <w:color w:val="auto"/>
        </w:rPr>
        <w:t xml:space="preserve">Novela zákona o veřejných sbírkách stanovila právnickým osobám, které pořádají sbírku mimo jiné níže uvedené povinnosti. </w:t>
      </w:r>
    </w:p>
    <w:p w14:paraId="4808D879" w14:textId="77777777" w:rsidR="00B22FB4" w:rsidRPr="00356E1F" w:rsidRDefault="00B22FB4" w:rsidP="00356E1F">
      <w:pPr>
        <w:widowControl w:val="0"/>
        <w:autoSpaceDE w:val="0"/>
        <w:autoSpaceDN w:val="0"/>
        <w:adjustRightInd w:val="0"/>
        <w:spacing w:line="240" w:lineRule="auto"/>
        <w:rPr>
          <w:color w:val="auto"/>
        </w:rPr>
      </w:pPr>
    </w:p>
    <w:p w14:paraId="1494A0AB" w14:textId="77777777" w:rsid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color w:val="auto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56E1F" w14:paraId="1E07B638" w14:textId="77777777" w:rsidTr="00356E1F">
        <w:trPr>
          <w:trHeight w:val="454"/>
        </w:trPr>
        <w:tc>
          <w:tcPr>
            <w:tcW w:w="9628" w:type="dxa"/>
            <w:shd w:val="clear" w:color="auto" w:fill="CCCEFF" w:themeFill="accent1" w:themeFillTint="33"/>
            <w:vAlign w:val="center"/>
          </w:tcPr>
          <w:p w14:paraId="22792EDE" w14:textId="04825FA5" w:rsidR="00356E1F" w:rsidRPr="00356E1F" w:rsidRDefault="00356E1F" w:rsidP="00B22FB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b/>
                <w:bCs/>
                <w:color w:val="auto"/>
              </w:rPr>
            </w:pPr>
            <w:r w:rsidRPr="00356E1F">
              <w:rPr>
                <w:b/>
                <w:bCs/>
                <w:color w:val="auto"/>
                <w:sz w:val="22"/>
                <w:szCs w:val="22"/>
              </w:rPr>
              <w:t>1. Povinnost dle čl. II Přechodná ustanovení</w:t>
            </w:r>
          </w:p>
        </w:tc>
      </w:tr>
    </w:tbl>
    <w:p w14:paraId="7CD822ED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color w:val="auto"/>
        </w:rPr>
      </w:pPr>
    </w:p>
    <w:p w14:paraId="6CDCF31C" w14:textId="1046671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Právnická osoba, jíž bylo přede dnem nabytí účinnosti novely zákona o veřejných sbírkách (přede dnem 1. ledna 2025) osvědčeno konání sbírky konané prodejem předmětů nebo vstupenek na veřejná kulturní nebo sportovní vystoupení anebo jiné všeobecně přístupné akce, u níž byla určena výše příspěvku nižší než 40 % z ceny předmětu nebo vstupenky, a tato sbírka nebyla ukončena přede dnem nabytí účinnosti této novely (přede dnem 1. lednem 2025), je </w:t>
      </w:r>
      <w:r w:rsidRPr="00356E1F">
        <w:rPr>
          <w:rFonts w:cs="Arial"/>
          <w:b/>
          <w:bCs/>
          <w:color w:val="auto"/>
          <w:kern w:val="0"/>
          <w:u w:val="single"/>
        </w:rPr>
        <w:t xml:space="preserve">povinna do 6 měsíců ode dne </w:t>
      </w:r>
      <w:r>
        <w:rPr>
          <w:rFonts w:cs="Arial"/>
          <w:b/>
          <w:bCs/>
          <w:color w:val="auto"/>
          <w:kern w:val="0"/>
          <w:u w:val="single"/>
        </w:rPr>
        <w:t xml:space="preserve">     </w:t>
      </w:r>
      <w:r w:rsidRPr="00356E1F">
        <w:rPr>
          <w:rFonts w:cs="Arial"/>
          <w:b/>
          <w:bCs/>
          <w:color w:val="auto"/>
          <w:kern w:val="0"/>
          <w:u w:val="single"/>
        </w:rPr>
        <w:t>1. ledna 2025</w:t>
      </w:r>
      <w:r w:rsidRPr="00356E1F">
        <w:rPr>
          <w:rFonts w:cs="Arial"/>
          <w:color w:val="auto"/>
          <w:kern w:val="0"/>
        </w:rPr>
        <w:t xml:space="preserve"> oznámit příslušnému krajskému úřadu nové určení výše příspěvku podle </w:t>
      </w:r>
      <w:hyperlink r:id="rId13" w:history="1">
        <w:r w:rsidRPr="00356E1F">
          <w:rPr>
            <w:rFonts w:cs="Arial"/>
            <w:color w:val="auto"/>
            <w:kern w:val="0"/>
          </w:rPr>
          <w:t>§ 12 odst. 3</w:t>
        </w:r>
      </w:hyperlink>
      <w:r w:rsidRPr="00356E1F">
        <w:rPr>
          <w:rFonts w:cs="Arial"/>
          <w:color w:val="auto"/>
          <w:kern w:val="0"/>
        </w:rPr>
        <w:t xml:space="preserve"> nebo </w:t>
      </w:r>
      <w:hyperlink r:id="rId14" w:history="1">
        <w:r w:rsidRPr="00356E1F">
          <w:rPr>
            <w:rFonts w:cs="Arial"/>
            <w:color w:val="auto"/>
            <w:kern w:val="0"/>
          </w:rPr>
          <w:t>§ 13 odst. 3 zákona č. 117/2001 Sb.</w:t>
        </w:r>
      </w:hyperlink>
      <w:r w:rsidRPr="00356E1F">
        <w:rPr>
          <w:rFonts w:cs="Arial"/>
          <w:color w:val="auto"/>
          <w:kern w:val="0"/>
        </w:rPr>
        <w:t xml:space="preserve">, o veřejných sbírkách, ve znění účinném po 1. lednu 2025.  </w:t>
      </w:r>
    </w:p>
    <w:p w14:paraId="73677CD1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 </w:t>
      </w:r>
    </w:p>
    <w:p w14:paraId="642C63AC" w14:textId="77777777" w:rsidR="00356E1F" w:rsidRPr="00356E1F" w:rsidRDefault="00356E1F" w:rsidP="00356E1F">
      <w:pPr>
        <w:pStyle w:val="Odstavecseseznamem"/>
        <w:keepNext/>
        <w:keepLines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Arial"/>
          <w:b/>
          <w:bCs/>
          <w:color w:val="auto"/>
          <w:kern w:val="0"/>
        </w:rPr>
      </w:pPr>
      <w:r w:rsidRPr="00356E1F">
        <w:rPr>
          <w:rFonts w:cs="Arial"/>
          <w:b/>
          <w:bCs/>
          <w:color w:val="auto"/>
          <w:kern w:val="0"/>
        </w:rPr>
        <w:t>§ 12 odst. 3 zákona o veřejných sbírkách – prodej předmětů</w:t>
      </w:r>
    </w:p>
    <w:p w14:paraId="15F8A02B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Koná-li právnická osoba sbírku prodejem předmětů, kdy tento způsob konání veřejné sbírky má právnická osoba uveden v Osvědčení, je nutné stanovit minimální výši příspěvku. </w:t>
      </w:r>
    </w:p>
    <w:p w14:paraId="7E254D8F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  <w:highlight w:val="yellow"/>
        </w:rPr>
      </w:pPr>
    </w:p>
    <w:p w14:paraId="781D7323" w14:textId="5A799720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Dle ustanovení §12 odst. 3 zákona o veřejných sbírkách musí výše příspěvku </w:t>
      </w:r>
      <w:r w:rsidRPr="00356E1F">
        <w:rPr>
          <w:rFonts w:cs="Arial"/>
          <w:b/>
          <w:bCs/>
          <w:color w:val="auto"/>
          <w:kern w:val="0"/>
        </w:rPr>
        <w:t>činit nejméně 40 % z ceny předmětu</w:t>
      </w:r>
      <w:r w:rsidRPr="00356E1F">
        <w:rPr>
          <w:rFonts w:cs="Arial"/>
          <w:color w:val="auto"/>
          <w:kern w:val="0"/>
        </w:rPr>
        <w:t xml:space="preserve">, tzn. je nutné, aby právnická osoba na Krajský úřad Ústeckého kraje </w:t>
      </w:r>
      <w:r w:rsidRPr="00356E1F">
        <w:rPr>
          <w:rFonts w:cs="Arial"/>
          <w:b/>
          <w:bCs/>
          <w:color w:val="auto"/>
          <w:kern w:val="0"/>
        </w:rPr>
        <w:t xml:space="preserve">do dne </w:t>
      </w:r>
      <w:r>
        <w:rPr>
          <w:rFonts w:cs="Arial"/>
          <w:b/>
          <w:bCs/>
          <w:color w:val="auto"/>
          <w:kern w:val="0"/>
        </w:rPr>
        <w:t xml:space="preserve">                            </w:t>
      </w:r>
      <w:r w:rsidRPr="00356E1F">
        <w:rPr>
          <w:rFonts w:cs="Arial"/>
          <w:b/>
          <w:bCs/>
          <w:color w:val="auto"/>
          <w:kern w:val="0"/>
        </w:rPr>
        <w:t xml:space="preserve">1. července 2025 </w:t>
      </w:r>
      <w:r w:rsidRPr="00356E1F">
        <w:rPr>
          <w:rFonts w:cs="Arial"/>
          <w:color w:val="auto"/>
          <w:kern w:val="0"/>
        </w:rPr>
        <w:t xml:space="preserve">včetně, odeslala přiloženou písemnost </w:t>
      </w:r>
      <w:r w:rsidRPr="00356E1F">
        <w:rPr>
          <w:rFonts w:cs="Arial"/>
          <w:color w:val="auto"/>
          <w:kern w:val="0"/>
          <w:u w:val="single"/>
        </w:rPr>
        <w:t>„Oznámení o výši příspěvku“</w:t>
      </w:r>
      <w:r w:rsidRPr="00356E1F">
        <w:rPr>
          <w:rFonts w:cs="Arial"/>
          <w:color w:val="auto"/>
          <w:kern w:val="0"/>
        </w:rPr>
        <w:t>, ve které uvede výši příspěvku ve výši 40 % - 100 %.</w:t>
      </w:r>
    </w:p>
    <w:p w14:paraId="1CD7003A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</w:p>
    <w:p w14:paraId="7F3063F1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V případě, že tak právnická osoba, která koná veřejnou sbírku kromě jiného i prodejem předmětů, neučiní a neoznámí výši příspěvku z prodeje předmětů, příslušný krajský úřad v souladu s ustanovením § 21 odst. 2 zákona o veřejných sbírkách krajský úřad rozhodnutím dočasně zastaví konání sbírky, není-li plněna některá z podmínek uvedených v oznámení nebo nejsou-li splněny podmínky uvedené v tomto zákoně; nesjedná-li právnická osoba ve stanovené lhůtě nápravu, krajský úřad dodatečně rozhodne, že sbírku nelze konat. Případně v souladu s ustanovením § 21 odst. 1 zákona o veřejných sbírkách rozhodne bez dalšího, že sbírku nelze konat, jestliže nastanou nebo dodatečně vyjdou najevo okolnosti, které jsou v rozporu se zákonem a pro něž není nebo by nebylo možno sbírku konat. </w:t>
      </w:r>
    </w:p>
    <w:p w14:paraId="7E772190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   </w:t>
      </w:r>
    </w:p>
    <w:p w14:paraId="3B4F8BD2" w14:textId="77777777" w:rsidR="00356E1F" w:rsidRPr="00356E1F" w:rsidRDefault="00356E1F" w:rsidP="00356E1F">
      <w:pPr>
        <w:pStyle w:val="Odstavecseseznamem"/>
        <w:keepNext/>
        <w:keepLines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b/>
          <w:bCs/>
          <w:color w:val="auto"/>
        </w:rPr>
      </w:pPr>
      <w:r w:rsidRPr="00356E1F">
        <w:rPr>
          <w:rFonts w:cs="Arial"/>
          <w:b/>
          <w:bCs/>
          <w:color w:val="auto"/>
          <w:kern w:val="0"/>
        </w:rPr>
        <w:t xml:space="preserve">§ 13 odst. 3 zákona o veřejných sbírkách – prodej vstupenek </w:t>
      </w:r>
    </w:p>
    <w:p w14:paraId="75B3D087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Koná-li právnická osoba sbírku prodejem vstupenek na veřejná kulturní nebo sportovní vystoupení anebo jiné všeobecně přístupné akce, kdy tento způsob konání veřejné sbírky má právnická osoba uveden v Osvědčení, je nutné stanovit minimální výši příspěvku. </w:t>
      </w:r>
    </w:p>
    <w:p w14:paraId="0E53B1B3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  <w:highlight w:val="yellow"/>
        </w:rPr>
      </w:pPr>
    </w:p>
    <w:p w14:paraId="3BD4CDCF" w14:textId="3ED6CF92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Dle ustanovení §13 odst. 3 zákona o veřejných sbírkách musí výše příspěvku </w:t>
      </w:r>
      <w:r w:rsidRPr="00356E1F">
        <w:rPr>
          <w:rFonts w:cs="Arial"/>
          <w:b/>
          <w:bCs/>
          <w:color w:val="auto"/>
          <w:kern w:val="0"/>
        </w:rPr>
        <w:t xml:space="preserve">činit nejméně 40 % z </w:t>
      </w:r>
      <w:r w:rsidRPr="00356E1F">
        <w:rPr>
          <w:rFonts w:cs="Arial"/>
          <w:b/>
          <w:bCs/>
          <w:color w:val="auto"/>
          <w:kern w:val="0"/>
        </w:rPr>
        <w:lastRenderedPageBreak/>
        <w:t>ceny vstupenky</w:t>
      </w:r>
      <w:r w:rsidRPr="00356E1F">
        <w:rPr>
          <w:rFonts w:cs="Arial"/>
          <w:color w:val="auto"/>
          <w:kern w:val="0"/>
        </w:rPr>
        <w:t xml:space="preserve">, tzn. je nutné, aby právnická osoba na Krajský úřad Ústeckého kraje do dne </w:t>
      </w:r>
      <w:r>
        <w:rPr>
          <w:rFonts w:cs="Arial"/>
          <w:color w:val="auto"/>
          <w:kern w:val="0"/>
        </w:rPr>
        <w:t xml:space="preserve">                                       </w:t>
      </w:r>
      <w:r w:rsidRPr="00356E1F">
        <w:rPr>
          <w:rFonts w:cs="Arial"/>
          <w:b/>
          <w:bCs/>
          <w:color w:val="auto"/>
          <w:kern w:val="0"/>
        </w:rPr>
        <w:t>1. července 2025</w:t>
      </w:r>
      <w:r w:rsidRPr="00356E1F">
        <w:rPr>
          <w:rFonts w:cs="Arial"/>
          <w:color w:val="auto"/>
          <w:kern w:val="0"/>
        </w:rPr>
        <w:t xml:space="preserve"> včetně, odeslala přiloženou písemnost </w:t>
      </w:r>
      <w:r w:rsidRPr="00356E1F">
        <w:rPr>
          <w:rFonts w:cs="Arial"/>
          <w:color w:val="auto"/>
          <w:kern w:val="0"/>
          <w:u w:val="single"/>
        </w:rPr>
        <w:t>„Oznámení o výši příspěvku“</w:t>
      </w:r>
      <w:r w:rsidRPr="00356E1F">
        <w:rPr>
          <w:rFonts w:cs="Arial"/>
          <w:color w:val="auto"/>
          <w:kern w:val="0"/>
        </w:rPr>
        <w:t>, ve které uvede výši příspěvku ve výši 40 % - 100 %.</w:t>
      </w:r>
    </w:p>
    <w:p w14:paraId="6DE8575D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</w:p>
    <w:p w14:paraId="056C6A79" w14:textId="77777777" w:rsid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 xml:space="preserve">V případě, že tak právnická osoba, která koná veřejnou sbírku kromě jiného i prodejem vstupenek, neučiní a neoznámí výši příspěvku z prodeje vstupenek, příslušný krajský úřad v souladu s ustanovením § 21 odst. 2 zákona o veřejných sbírkách krajský úřad rozhodnutím dočasně zastaví konání sbírky, není-li plněna některá z podmínek uvedených v oznámení nebo nejsou-li splněny podmínky uvedené v tomto zákoně; nesjedná-li právnická osoba ve stanovené lhůtě nápravu, krajský úřad dodatečně rozhodne, že sbírku nelze konat. Případně v souladu s ustanovením § 21 odst. 1 zákona o veřejných sbírkách rozhodne bez dalšího, že sbírku nelze konat, jestliže nastanou nebo dodatečně vyjdou najevo okolnosti, které jsou v rozporu se zákonem a pro něž není nebo by nebylo možno sbírku konat. </w:t>
      </w:r>
    </w:p>
    <w:p w14:paraId="6E336A92" w14:textId="77777777" w:rsidR="00B22FB4" w:rsidRDefault="00B22FB4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</w:p>
    <w:p w14:paraId="312AA859" w14:textId="77777777" w:rsidR="00B22FB4" w:rsidRPr="00356E1F" w:rsidRDefault="00B22FB4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56E1F" w14:paraId="0ECEB0A8" w14:textId="77777777" w:rsidTr="00F13130">
        <w:trPr>
          <w:trHeight w:val="454"/>
        </w:trPr>
        <w:tc>
          <w:tcPr>
            <w:tcW w:w="9628" w:type="dxa"/>
            <w:shd w:val="clear" w:color="auto" w:fill="CCCEFF" w:themeFill="accent1" w:themeFillTint="33"/>
            <w:vAlign w:val="center"/>
          </w:tcPr>
          <w:p w14:paraId="1F4AACAA" w14:textId="641099D1" w:rsidR="00356E1F" w:rsidRPr="00356E1F" w:rsidRDefault="00356E1F" w:rsidP="00B22FB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b/>
                <w:bCs/>
                <w:color w:val="auto"/>
              </w:rPr>
            </w:pPr>
            <w:r w:rsidRPr="00356E1F">
              <w:rPr>
                <w:b/>
                <w:bCs/>
                <w:color w:val="auto"/>
                <w:sz w:val="22"/>
                <w:szCs w:val="22"/>
              </w:rPr>
              <w:t>2. Povinnost zveřejnit vyúčtování veřejné sbírky</w:t>
            </w:r>
          </w:p>
        </w:tc>
      </w:tr>
    </w:tbl>
    <w:p w14:paraId="60CFCF25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</w:p>
    <w:p w14:paraId="7F4F0C6E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>V souladu s ustanovením § 24 odst. 4 zákona o veřejných sbírkách má právnická osoba povinnost seznámit veřejnost s vyúčtováním sbírky a jejím využitím způsobem umožňujícím dálkový přístup nebo alespoň jedním ze způsobů, jakým sbírku propagovala, a to bez zbytečného odkladu, nejpozději však do 1 měsíce po schválení vyúčtování příslušným krajským úřadem, tzn. že právnická osoba je povinna zveřejnit na základě zaslaného protokolu o kontrole za každé kontrolované období vyúčtování veřejné sbírky.</w:t>
      </w:r>
    </w:p>
    <w:p w14:paraId="169CC463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</w:p>
    <w:p w14:paraId="1726B726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 w:rsidRPr="00356E1F">
        <w:rPr>
          <w:rFonts w:cs="Arial"/>
          <w:color w:val="auto"/>
          <w:kern w:val="0"/>
        </w:rPr>
        <w:t>V případě, že tak právnická osoba ve lhůtě 1 měsíce neučiní a neseznámí veřejnost s vyúčtováním sbírky a jejím využitím shora uvedeným způsobem, dopouští se přestupku podle ustanovení § 25a odst. 1 písm. t) zákona o veřejných sbírkách a lze právnické osobě uložit pokutu dle ustanovení § 25a odst. 2 písm. d) zákona o veřejných sbírkách až do výše 500 000 Kč.</w:t>
      </w:r>
    </w:p>
    <w:p w14:paraId="4B1B808B" w14:textId="77777777" w:rsidR="002C2420" w:rsidRDefault="002C2420" w:rsidP="00356E1F">
      <w:pPr>
        <w:pStyle w:val="Style5"/>
        <w:shd w:val="clear" w:color="auto" w:fill="auto"/>
        <w:spacing w:before="0" w:after="0"/>
        <w:rPr>
          <w:rFonts w:ascii="Century Gothic" w:hAnsi="Century Gothic"/>
          <w:sz w:val="20"/>
          <w:szCs w:val="20"/>
        </w:rPr>
      </w:pPr>
    </w:p>
    <w:p w14:paraId="3286BBA7" w14:textId="77777777" w:rsidR="00356E1F" w:rsidRDefault="00356E1F" w:rsidP="00356E1F">
      <w:pPr>
        <w:pStyle w:val="Style5"/>
        <w:shd w:val="clear" w:color="auto" w:fill="auto"/>
        <w:spacing w:before="0" w:after="0"/>
        <w:rPr>
          <w:rFonts w:ascii="Century Gothic" w:hAnsi="Century Gothic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56E1F" w14:paraId="23BC53B1" w14:textId="77777777" w:rsidTr="00F13130">
        <w:trPr>
          <w:trHeight w:val="454"/>
        </w:trPr>
        <w:tc>
          <w:tcPr>
            <w:tcW w:w="9628" w:type="dxa"/>
            <w:shd w:val="clear" w:color="auto" w:fill="CCCEFF" w:themeFill="accent1" w:themeFillTint="33"/>
            <w:vAlign w:val="center"/>
          </w:tcPr>
          <w:p w14:paraId="7F34B2CD" w14:textId="443F47AE" w:rsidR="00356E1F" w:rsidRPr="00356E1F" w:rsidRDefault="00356E1F" w:rsidP="00B22FB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b/>
                <w:bCs/>
                <w:color w:val="auto"/>
              </w:rPr>
            </w:pPr>
            <w:r w:rsidRPr="00356E1F">
              <w:rPr>
                <w:b/>
                <w:bCs/>
                <w:color w:val="auto"/>
                <w:sz w:val="22"/>
                <w:szCs w:val="22"/>
              </w:rPr>
              <w:t>3. Přílohy</w:t>
            </w:r>
          </w:p>
        </w:tc>
      </w:tr>
    </w:tbl>
    <w:p w14:paraId="0AE37277" w14:textId="48BA60A1" w:rsidR="00356E1F" w:rsidRDefault="00356E1F" w:rsidP="00356E1F">
      <w:pPr>
        <w:pStyle w:val="Odstavecseseznamem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>
        <w:rPr>
          <w:rFonts w:cs="Arial"/>
          <w:color w:val="auto"/>
          <w:kern w:val="0"/>
        </w:rPr>
        <w:t>Oznámení o výši příspěvku – OB</w:t>
      </w:r>
      <w:r w:rsidR="007E613B">
        <w:rPr>
          <w:rFonts w:cs="Arial"/>
          <w:color w:val="auto"/>
          <w:kern w:val="0"/>
        </w:rPr>
        <w:t>E</w:t>
      </w:r>
      <w:r>
        <w:rPr>
          <w:rFonts w:cs="Arial"/>
          <w:color w:val="auto"/>
          <w:kern w:val="0"/>
        </w:rPr>
        <w:t>C</w:t>
      </w:r>
    </w:p>
    <w:p w14:paraId="0392C68F" w14:textId="58833124" w:rsidR="00356E1F" w:rsidRPr="00356E1F" w:rsidRDefault="007E613B" w:rsidP="00356E1F">
      <w:pPr>
        <w:widowControl w:val="0"/>
        <w:autoSpaceDE w:val="0"/>
        <w:autoSpaceDN w:val="0"/>
        <w:adjustRightInd w:val="0"/>
        <w:spacing w:line="240" w:lineRule="auto"/>
        <w:ind w:left="60"/>
        <w:rPr>
          <w:rFonts w:cs="Arial"/>
          <w:color w:val="auto"/>
          <w:kern w:val="0"/>
        </w:rPr>
      </w:pPr>
      <w:r>
        <w:object w:dxaOrig="1539" w:dyaOrig="997" w14:anchorId="1824D8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8" ShapeID="_x0000_i1025" DrawAspect="Icon" ObjectID="_1797399603" r:id="rId16">
            <o:FieldCodes>\s</o:FieldCodes>
          </o:OLEObject>
        </w:object>
      </w:r>
    </w:p>
    <w:p w14:paraId="6D362A5C" w14:textId="77777777" w:rsidR="00356E1F" w:rsidRPr="00356E1F" w:rsidRDefault="00356E1F" w:rsidP="00356E1F">
      <w:pPr>
        <w:widowControl w:val="0"/>
        <w:autoSpaceDE w:val="0"/>
        <w:autoSpaceDN w:val="0"/>
        <w:adjustRightInd w:val="0"/>
        <w:spacing w:line="240" w:lineRule="auto"/>
        <w:ind w:left="60"/>
        <w:rPr>
          <w:rFonts w:cs="Arial"/>
          <w:color w:val="auto"/>
          <w:kern w:val="0"/>
        </w:rPr>
      </w:pPr>
    </w:p>
    <w:p w14:paraId="0D7D330D" w14:textId="30D818A4" w:rsidR="00356E1F" w:rsidRDefault="00356E1F" w:rsidP="00356E1F">
      <w:pPr>
        <w:pStyle w:val="Odstavecseseznamem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>
        <w:rPr>
          <w:rFonts w:cs="Arial"/>
          <w:color w:val="auto"/>
          <w:kern w:val="0"/>
        </w:rPr>
        <w:t xml:space="preserve">Oznámení o výši příspěvku – PO </w:t>
      </w:r>
    </w:p>
    <w:p w14:paraId="7E92B13D" w14:textId="55C59653" w:rsidR="00356E1F" w:rsidRPr="00356E1F" w:rsidRDefault="007E613B" w:rsidP="00356E1F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auto"/>
          <w:kern w:val="0"/>
        </w:rPr>
      </w:pPr>
      <w:r>
        <w:object w:dxaOrig="1539" w:dyaOrig="997" w14:anchorId="2DD2503A">
          <v:shape id="_x0000_i1026" type="#_x0000_t75" style="width:77.25pt;height:49.5pt" o:ole="">
            <v:imagedata r:id="rId17" o:title=""/>
          </v:shape>
          <o:OLEObject Type="Embed" ProgID="Word.Document.8" ShapeID="_x0000_i1026" DrawAspect="Icon" ObjectID="_1797399604" r:id="rId18">
            <o:FieldCodes>\s</o:FieldCodes>
          </o:OLEObject>
        </w:object>
      </w:r>
    </w:p>
    <w:sectPr w:rsidR="00356E1F" w:rsidRPr="00356E1F" w:rsidSect="00AF1D28">
      <w:footerReference w:type="default" r:id="rId19"/>
      <w:headerReference w:type="first" r:id="rId20"/>
      <w:footerReference w:type="first" r:id="rId21"/>
      <w:pgSz w:w="11906" w:h="16838" w:code="9"/>
      <w:pgMar w:top="1418" w:right="1134" w:bottom="1871" w:left="1134" w:header="658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47519" w14:textId="77777777" w:rsidR="00FE014B" w:rsidRDefault="00FE014B" w:rsidP="00A4755F">
      <w:r>
        <w:separator/>
      </w:r>
    </w:p>
  </w:endnote>
  <w:endnote w:type="continuationSeparator" w:id="0">
    <w:p w14:paraId="5BE08298" w14:textId="77777777" w:rsidR="00FE014B" w:rsidRDefault="00FE014B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AFD55ABC-533B-4AD9-83A5-2E6765631CAF}"/>
    <w:embedBold r:id="rId2" w:fontKey="{2DD10CF7-2B96-4592-B893-B4DAC45EB9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3" w:fontKey="{4969B436-92FC-41DC-8E5F-6536FD40C365}"/>
    <w:embedBold r:id="rId4" w:fontKey="{97A51521-86E9-4CB5-9258-69F97279430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5" w:fontKey="{4A88ABE0-62E3-480D-B4B0-411206D704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65285B5-4D1B-418E-8A7B-E7577E338036}"/>
    <w:embedBold r:id="rId7" w:fontKey="{E1526988-FB85-4A5C-AEFC-B840DB341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2935698"/>
      <w:docPartObj>
        <w:docPartGallery w:val="Page Numbers (Bottom of Page)"/>
        <w:docPartUnique/>
      </w:docPartObj>
    </w:sdtPr>
    <w:sdtEndPr/>
    <w:sdtContent>
      <w:sdt>
        <w:sdtPr>
          <w:id w:val="572860089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0A58D7">
              <w:rPr>
                <w:noProof/>
              </w:rPr>
              <w:t>4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0A58D7">
              <w:rPr>
                <w:noProof/>
              </w:rPr>
              <w:t>4</w:t>
            </w:r>
            <w:r w:rsidRPr="000069D3">
              <w:fldChar w:fldCharType="end"/>
            </w:r>
          </w:p>
        </w:sdtContent>
      </w:sdt>
    </w:sdtContent>
  </w:sdt>
  <w:p w14:paraId="5D4DE8CC" w14:textId="77777777" w:rsidR="00B034D3" w:rsidRDefault="00B034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35A3F" w14:textId="78CB642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BED41F6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1A3BA87" w:rsidR="00252CA6" w:rsidRDefault="00252CA6" w:rsidP="00A4755F">
                          <w:pPr>
                            <w:pStyle w:val="Zpat"/>
                          </w:pPr>
                          <w:r w:rsidRPr="00252CA6">
                            <w:t>www.kr-ustecky.cz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1A3BA87" w:rsidR="00252CA6" w:rsidRDefault="00252CA6" w:rsidP="00A4755F">
                    <w:pPr>
                      <w:pStyle w:val="Zpat"/>
                    </w:pPr>
                    <w:r w:rsidRPr="00252CA6">
                      <w:t>www.kr-ustecky.cz</w:t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025D39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13E9578A">
              <wp:simplePos x="0" y="0"/>
              <wp:positionH relativeFrom="page">
                <wp:posOffset>723265</wp:posOffset>
              </wp:positionH>
              <wp:positionV relativeFrom="page">
                <wp:posOffset>9791700</wp:posOffset>
              </wp:positionV>
              <wp:extent cx="1612800" cy="358813"/>
              <wp:effectExtent l="0" t="0" r="5080" b="3175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5CFD" w14:textId="77777777" w:rsidR="003E0CD0" w:rsidRDefault="003E0CD0" w:rsidP="003E0CD0">
                          <w:pPr>
                            <w:pStyle w:val="Zpat"/>
                          </w:pPr>
                          <w:r>
                            <w:t>Krajský úřad Ústeckého kraje</w:t>
                          </w:r>
                        </w:p>
                        <w:p w14:paraId="60690FE7" w14:textId="77777777" w:rsidR="003E0CD0" w:rsidRDefault="003E0CD0" w:rsidP="003E0CD0">
                          <w:pPr>
                            <w:pStyle w:val="Zpat"/>
                          </w:pPr>
                          <w:r>
                            <w:t>Velká Hradební 3118/48</w:t>
                          </w:r>
                        </w:p>
                        <w:p w14:paraId="371AA97B" w14:textId="2F633F12" w:rsidR="00025D39" w:rsidRPr="000069D3" w:rsidRDefault="003E0CD0" w:rsidP="003E0CD0">
                          <w:pPr>
                            <w:pStyle w:val="Zpat"/>
                          </w:pPr>
                          <w:r>
                            <w:t>400 0</w:t>
                          </w:r>
                          <w:r w:rsidR="00F4131A">
                            <w:t>1</w:t>
                          </w:r>
                          <w:r>
                            <w:t xml:space="preserve">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7" type="#_x0000_t202" style="position:absolute;left:0;text-align:left;margin-left:56.95pt;margin-top:771pt;width:127pt;height:28.25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" fillcolor="white [3201]" stroked="f" strokeweight=".5pt">
              <v:textbox inset="0,0,5mm,0">
                <w:txbxContent>
                  <w:p w14:paraId="24515CFD" w14:textId="77777777" w:rsidR="003E0CD0" w:rsidRDefault="003E0CD0" w:rsidP="003E0CD0">
                    <w:pPr>
                      <w:pStyle w:val="Zpat"/>
                    </w:pPr>
                    <w:r>
                      <w:t>Krajský úřad Ústeckého kraje</w:t>
                    </w:r>
                  </w:p>
                  <w:p w14:paraId="60690FE7" w14:textId="77777777" w:rsidR="003E0CD0" w:rsidRDefault="003E0CD0" w:rsidP="003E0CD0">
                    <w:pPr>
                      <w:pStyle w:val="Zpat"/>
                    </w:pPr>
                    <w:r>
                      <w:t>Velká Hradební 3118/48</w:t>
                    </w:r>
                  </w:p>
                  <w:p w14:paraId="371AA97B" w14:textId="2F633F12" w:rsidR="00025D39" w:rsidRPr="000069D3" w:rsidRDefault="003E0CD0" w:rsidP="003E0CD0">
                    <w:pPr>
                      <w:pStyle w:val="Zpat"/>
                    </w:pPr>
                    <w:r>
                      <w:t>400 0</w:t>
                    </w:r>
                    <w:r w:rsidR="00F4131A">
                      <w:t>1</w:t>
                    </w:r>
                    <w:r>
                      <w:t xml:space="preserve">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BCA6DF" w14:textId="77777777" w:rsidR="003E0CD0" w:rsidRDefault="003E0CD0" w:rsidP="003E0CD0">
                          <w:pPr>
                            <w:pStyle w:val="Zpat"/>
                          </w:pPr>
                          <w:r>
                            <w:t>IČ: 70892156</w:t>
                          </w:r>
                        </w:p>
                        <w:p w14:paraId="2A5AA775" w14:textId="77777777" w:rsidR="003E0CD0" w:rsidRDefault="003E0CD0" w:rsidP="003E0CD0">
                          <w:pPr>
                            <w:pStyle w:val="Zpat"/>
                          </w:pPr>
                          <w:r>
                            <w:t>DIČ: CZ70892156</w:t>
                          </w:r>
                        </w:p>
                        <w:p w14:paraId="60780875" w14:textId="72D7034D" w:rsidR="00252CA6" w:rsidRPr="000069D3" w:rsidRDefault="003E0CD0" w:rsidP="003E0CD0">
                          <w:pPr>
                            <w:pStyle w:val="Zpat"/>
                          </w:pPr>
                          <w:r>
                            <w:t>ID: t9zbsva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8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" fillcolor="white [3201]" stroked="f" strokeweight=".5pt">
              <v:textbox inset="0,0,5mm,0">
                <w:txbxContent>
                  <w:p w14:paraId="52BCA6DF" w14:textId="77777777" w:rsidR="003E0CD0" w:rsidRDefault="003E0CD0" w:rsidP="003E0CD0">
                    <w:pPr>
                      <w:pStyle w:val="Zpat"/>
                    </w:pPr>
                    <w:r>
                      <w:t>IČ: 70892156</w:t>
                    </w:r>
                  </w:p>
                  <w:p w14:paraId="2A5AA775" w14:textId="77777777" w:rsidR="003E0CD0" w:rsidRDefault="003E0CD0" w:rsidP="003E0CD0">
                    <w:pPr>
                      <w:pStyle w:val="Zpat"/>
                    </w:pPr>
                    <w:r>
                      <w:t>DIČ: CZ70892156</w:t>
                    </w:r>
                  </w:p>
                  <w:p w14:paraId="60780875" w14:textId="72D7034D" w:rsidR="00252CA6" w:rsidRPr="000069D3" w:rsidRDefault="003E0CD0" w:rsidP="003E0CD0">
                    <w:pPr>
                      <w:pStyle w:val="Zpat"/>
                    </w:pPr>
                    <w:r>
                      <w:t>ID: t9zbsva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1E233" w14:textId="77777777" w:rsidR="003E0CD0" w:rsidRDefault="003E0CD0" w:rsidP="003E0CD0">
                          <w:pPr>
                            <w:pStyle w:val="Zpat"/>
                          </w:pPr>
                          <w:r>
                            <w:t>Tel.: +420 475 657 111</w:t>
                          </w:r>
                        </w:p>
                        <w:p w14:paraId="75B7B2F4" w14:textId="77777777" w:rsidR="003E0CD0" w:rsidRDefault="003E0CD0" w:rsidP="003E0CD0">
                          <w:pPr>
                            <w:pStyle w:val="Zpat"/>
                          </w:pPr>
                          <w:r>
                            <w:t xml:space="preserve">epodatelna@kr-ustecky.cz </w:t>
                          </w:r>
                        </w:p>
                        <w:p w14:paraId="519A16F7" w14:textId="43A6EBFA" w:rsidR="001C788A" w:rsidRPr="000069D3" w:rsidRDefault="003E0CD0" w:rsidP="003E0CD0">
                          <w:pPr>
                            <w:pStyle w:val="Zpat"/>
                          </w:pPr>
                          <w:r>
                            <w:t>č. ú.:  882733379/0800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9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MMKA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" fillcolor="white [3201]" stroked="f" strokeweight=".5pt">
              <v:textbox inset="0,0,5mm,0">
                <w:txbxContent>
                  <w:p w14:paraId="2C21E233" w14:textId="77777777" w:rsidR="003E0CD0" w:rsidRDefault="003E0CD0" w:rsidP="003E0CD0">
                    <w:pPr>
                      <w:pStyle w:val="Zpat"/>
                    </w:pPr>
                    <w:r>
                      <w:t>Tel.: +420 475 657 111</w:t>
                    </w:r>
                  </w:p>
                  <w:p w14:paraId="75B7B2F4" w14:textId="77777777" w:rsidR="003E0CD0" w:rsidRDefault="003E0CD0" w:rsidP="003E0CD0">
                    <w:pPr>
                      <w:pStyle w:val="Zpat"/>
                    </w:pPr>
                    <w:r>
                      <w:t xml:space="preserve">epodatelna@kr-ustecky.cz </w:t>
                    </w:r>
                  </w:p>
                  <w:p w14:paraId="519A16F7" w14:textId="43A6EBFA" w:rsidR="001C788A" w:rsidRPr="000069D3" w:rsidRDefault="003E0CD0" w:rsidP="003E0CD0">
                    <w:pPr>
                      <w:pStyle w:val="Zpat"/>
                    </w:pPr>
                    <w:r>
                      <w:t xml:space="preserve">č. </w:t>
                    </w:r>
                    <w:proofErr w:type="spellStart"/>
                    <w:r>
                      <w:t>ú.</w:t>
                    </w:r>
                    <w:proofErr w:type="spellEnd"/>
                    <w:r>
                      <w:t>:  882733379/0800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2E918" w14:textId="77777777" w:rsidR="00FE014B" w:rsidRDefault="00FE014B" w:rsidP="00A4755F">
      <w:r>
        <w:separator/>
      </w:r>
    </w:p>
  </w:footnote>
  <w:footnote w:type="continuationSeparator" w:id="0">
    <w:p w14:paraId="2FE82489" w14:textId="77777777" w:rsidR="00FE014B" w:rsidRDefault="00FE014B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B2E74" w14:textId="56DEEE79" w:rsidR="009C7487" w:rsidRPr="00824B03" w:rsidRDefault="009C7487" w:rsidP="009C7487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  <w:r>
      <w:rPr>
        <w:lang w:eastAsia="cs-CZ"/>
      </w:rPr>
      <w:drawing>
        <wp:anchor distT="0" distB="0" distL="114300" distR="114300" simplePos="0" relativeHeight="251660288" behindDoc="1" locked="0" layoutInCell="1" allowOverlap="1" wp14:anchorId="57F5C654" wp14:editId="55E0E8C5">
          <wp:simplePos x="0" y="0"/>
          <wp:positionH relativeFrom="page">
            <wp:align>right</wp:align>
          </wp:positionH>
          <wp:positionV relativeFrom="page">
            <wp:posOffset>165370</wp:posOffset>
          </wp:positionV>
          <wp:extent cx="7558683" cy="1177047"/>
          <wp:effectExtent l="0" t="0" r="4445" b="4445"/>
          <wp:wrapTight wrapText="bothSides">
            <wp:wrapPolygon edited="0">
              <wp:start x="0" y="0"/>
              <wp:lineTo x="0" y="21332"/>
              <wp:lineTo x="21558" y="21332"/>
              <wp:lineTo x="21558" y="0"/>
              <wp:lineTo x="0" y="0"/>
            </wp:wrapPolygon>
          </wp:wrapTight>
          <wp:docPr id="8" name="Grafický 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" b="22822"/>
                  <a:stretch/>
                </pic:blipFill>
                <pic:spPr bwMode="auto">
                  <a:xfrm>
                    <a:off x="0" y="0"/>
                    <a:ext cx="7571556" cy="11790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825">
      <w:rPr>
        <w:rFonts w:ascii="Century Gothic" w:hAnsi="Century Gothic"/>
        <w:lang w:eastAsia="cs-CZ"/>
      </w:rPr>
      <w:drawing>
        <wp:anchor distT="0" distB="0" distL="114300" distR="114300" simplePos="0" relativeHeight="251671552" behindDoc="1" locked="0" layoutInCell="1" allowOverlap="1" wp14:anchorId="2122B46C" wp14:editId="2979B843">
          <wp:simplePos x="0" y="0"/>
          <wp:positionH relativeFrom="page">
            <wp:posOffset>0</wp:posOffset>
          </wp:positionH>
          <wp:positionV relativeFrom="page">
            <wp:posOffset>165370</wp:posOffset>
          </wp:positionV>
          <wp:extent cx="7534800" cy="1195200"/>
          <wp:effectExtent l="0" t="0" r="0" b="5080"/>
          <wp:wrapNone/>
          <wp:docPr id="3" name="Grafický 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22"/>
                  <a:stretch/>
                </pic:blipFill>
                <pic:spPr bwMode="auto">
                  <a:xfrm>
                    <a:off x="0" y="0"/>
                    <a:ext cx="7534800" cy="119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color w:val="000DFF"/>
      </w:rPr>
      <w:t>o</w:t>
    </w:r>
    <w:r w:rsidRPr="00824B03">
      <w:rPr>
        <w:rFonts w:ascii="Century Gothic" w:hAnsi="Century Gothic"/>
        <w:b/>
        <w:color w:val="000DFF"/>
      </w:rPr>
      <w:t>dbor správních činností a krajský živnostenský úřad</w:t>
    </w:r>
  </w:p>
  <w:p w14:paraId="679E01A6" w14:textId="6E797F77" w:rsidR="0066288F" w:rsidRDefault="0066288F" w:rsidP="003E0C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E6AF7"/>
    <w:multiLevelType w:val="hybridMultilevel"/>
    <w:tmpl w:val="CC3CA81E"/>
    <w:lvl w:ilvl="0" w:tplc="0405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" w15:restartNumberingAfterBreak="0">
    <w:nsid w:val="028253CE"/>
    <w:multiLevelType w:val="hybridMultilevel"/>
    <w:tmpl w:val="784C60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A7BA2"/>
    <w:multiLevelType w:val="hybridMultilevel"/>
    <w:tmpl w:val="24BCAAAE"/>
    <w:lvl w:ilvl="0" w:tplc="C24ED1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EE00A0C">
      <w:numFmt w:val="bullet"/>
      <w:lvlText w:val="-"/>
      <w:lvlJc w:val="left"/>
      <w:pPr>
        <w:ind w:left="1112" w:hanging="360"/>
      </w:pPr>
      <w:rPr>
        <w:rFonts w:ascii="Century Gothic" w:eastAsia="Arial" w:hAnsi="Century Gothic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32" w:hanging="180"/>
      </w:pPr>
    </w:lvl>
    <w:lvl w:ilvl="3" w:tplc="0405000F" w:tentative="1">
      <w:start w:val="1"/>
      <w:numFmt w:val="decimal"/>
      <w:lvlText w:val="%4."/>
      <w:lvlJc w:val="left"/>
      <w:pPr>
        <w:ind w:left="2552" w:hanging="360"/>
      </w:pPr>
    </w:lvl>
    <w:lvl w:ilvl="4" w:tplc="04050019" w:tentative="1">
      <w:start w:val="1"/>
      <w:numFmt w:val="lowerLetter"/>
      <w:lvlText w:val="%5."/>
      <w:lvlJc w:val="left"/>
      <w:pPr>
        <w:ind w:left="3272" w:hanging="360"/>
      </w:pPr>
    </w:lvl>
    <w:lvl w:ilvl="5" w:tplc="0405001B" w:tentative="1">
      <w:start w:val="1"/>
      <w:numFmt w:val="lowerRoman"/>
      <w:lvlText w:val="%6."/>
      <w:lvlJc w:val="right"/>
      <w:pPr>
        <w:ind w:left="3992" w:hanging="180"/>
      </w:pPr>
    </w:lvl>
    <w:lvl w:ilvl="6" w:tplc="0405000F" w:tentative="1">
      <w:start w:val="1"/>
      <w:numFmt w:val="decimal"/>
      <w:lvlText w:val="%7."/>
      <w:lvlJc w:val="left"/>
      <w:pPr>
        <w:ind w:left="4712" w:hanging="360"/>
      </w:pPr>
    </w:lvl>
    <w:lvl w:ilvl="7" w:tplc="04050019" w:tentative="1">
      <w:start w:val="1"/>
      <w:numFmt w:val="lowerLetter"/>
      <w:lvlText w:val="%8."/>
      <w:lvlJc w:val="left"/>
      <w:pPr>
        <w:ind w:left="5432" w:hanging="360"/>
      </w:pPr>
    </w:lvl>
    <w:lvl w:ilvl="8" w:tplc="0405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" w15:restartNumberingAfterBreak="0">
    <w:nsid w:val="0A8B2BC9"/>
    <w:multiLevelType w:val="hybridMultilevel"/>
    <w:tmpl w:val="03367366"/>
    <w:lvl w:ilvl="0" w:tplc="13AC2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73CC6"/>
    <w:multiLevelType w:val="hybridMultilevel"/>
    <w:tmpl w:val="7A989B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274F6"/>
    <w:multiLevelType w:val="hybridMultilevel"/>
    <w:tmpl w:val="10BEC9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84E47"/>
    <w:multiLevelType w:val="hybridMultilevel"/>
    <w:tmpl w:val="FE1AD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40AE9"/>
    <w:multiLevelType w:val="hybridMultilevel"/>
    <w:tmpl w:val="2C2274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C5276"/>
    <w:multiLevelType w:val="hybridMultilevel"/>
    <w:tmpl w:val="E0B419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F3055"/>
    <w:multiLevelType w:val="hybridMultilevel"/>
    <w:tmpl w:val="199CD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05804"/>
    <w:multiLevelType w:val="hybridMultilevel"/>
    <w:tmpl w:val="114E1FC0"/>
    <w:lvl w:ilvl="0" w:tplc="8468F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B00D9"/>
    <w:multiLevelType w:val="multilevel"/>
    <w:tmpl w:val="3D6E048E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785A38"/>
    <w:multiLevelType w:val="hybridMultilevel"/>
    <w:tmpl w:val="A4E092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C6998"/>
    <w:multiLevelType w:val="hybridMultilevel"/>
    <w:tmpl w:val="6E702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52C67"/>
    <w:multiLevelType w:val="hybridMultilevel"/>
    <w:tmpl w:val="675CC1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10556"/>
    <w:multiLevelType w:val="hybridMultilevel"/>
    <w:tmpl w:val="46023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63C4F"/>
    <w:multiLevelType w:val="hybridMultilevel"/>
    <w:tmpl w:val="B2E227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25EC9"/>
    <w:multiLevelType w:val="hybridMultilevel"/>
    <w:tmpl w:val="44B44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0468F"/>
    <w:multiLevelType w:val="hybridMultilevel"/>
    <w:tmpl w:val="5BBA6C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46E16"/>
    <w:multiLevelType w:val="multilevel"/>
    <w:tmpl w:val="0072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424E25"/>
    <w:multiLevelType w:val="hybridMultilevel"/>
    <w:tmpl w:val="F282F202"/>
    <w:lvl w:ilvl="0" w:tplc="C4A68F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F441AC"/>
    <w:multiLevelType w:val="hybridMultilevel"/>
    <w:tmpl w:val="7558320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C632E"/>
    <w:multiLevelType w:val="hybridMultilevel"/>
    <w:tmpl w:val="800CF3D8"/>
    <w:lvl w:ilvl="0" w:tplc="71A67A04">
      <w:start w:val="3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67A277DD"/>
    <w:multiLevelType w:val="hybridMultilevel"/>
    <w:tmpl w:val="D33AF736"/>
    <w:lvl w:ilvl="0" w:tplc="28C44EC8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7" w:hanging="360"/>
      </w:pPr>
    </w:lvl>
    <w:lvl w:ilvl="2" w:tplc="0405001B" w:tentative="1">
      <w:start w:val="1"/>
      <w:numFmt w:val="lowerRoman"/>
      <w:lvlText w:val="%3."/>
      <w:lvlJc w:val="right"/>
      <w:pPr>
        <w:ind w:left="1787" w:hanging="180"/>
      </w:pPr>
    </w:lvl>
    <w:lvl w:ilvl="3" w:tplc="0405000F" w:tentative="1">
      <w:start w:val="1"/>
      <w:numFmt w:val="decimal"/>
      <w:lvlText w:val="%4."/>
      <w:lvlJc w:val="left"/>
      <w:pPr>
        <w:ind w:left="2507" w:hanging="360"/>
      </w:pPr>
    </w:lvl>
    <w:lvl w:ilvl="4" w:tplc="04050019" w:tentative="1">
      <w:start w:val="1"/>
      <w:numFmt w:val="lowerLetter"/>
      <w:lvlText w:val="%5."/>
      <w:lvlJc w:val="left"/>
      <w:pPr>
        <w:ind w:left="3227" w:hanging="360"/>
      </w:pPr>
    </w:lvl>
    <w:lvl w:ilvl="5" w:tplc="0405001B" w:tentative="1">
      <w:start w:val="1"/>
      <w:numFmt w:val="lowerRoman"/>
      <w:lvlText w:val="%6."/>
      <w:lvlJc w:val="right"/>
      <w:pPr>
        <w:ind w:left="3947" w:hanging="180"/>
      </w:pPr>
    </w:lvl>
    <w:lvl w:ilvl="6" w:tplc="0405000F" w:tentative="1">
      <w:start w:val="1"/>
      <w:numFmt w:val="decimal"/>
      <w:lvlText w:val="%7."/>
      <w:lvlJc w:val="left"/>
      <w:pPr>
        <w:ind w:left="4667" w:hanging="360"/>
      </w:pPr>
    </w:lvl>
    <w:lvl w:ilvl="7" w:tplc="04050019" w:tentative="1">
      <w:start w:val="1"/>
      <w:numFmt w:val="lowerLetter"/>
      <w:lvlText w:val="%8."/>
      <w:lvlJc w:val="left"/>
      <w:pPr>
        <w:ind w:left="5387" w:hanging="360"/>
      </w:pPr>
    </w:lvl>
    <w:lvl w:ilvl="8" w:tplc="0405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24" w15:restartNumberingAfterBreak="0">
    <w:nsid w:val="74A660D3"/>
    <w:multiLevelType w:val="hybridMultilevel"/>
    <w:tmpl w:val="3C9A4A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4633E"/>
    <w:multiLevelType w:val="hybridMultilevel"/>
    <w:tmpl w:val="99B898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371768">
    <w:abstractNumId w:val="23"/>
  </w:num>
  <w:num w:numId="2" w16cid:durableId="1067454982">
    <w:abstractNumId w:val="18"/>
  </w:num>
  <w:num w:numId="3" w16cid:durableId="1238442343">
    <w:abstractNumId w:val="25"/>
  </w:num>
  <w:num w:numId="4" w16cid:durableId="1457288128">
    <w:abstractNumId w:val="1"/>
  </w:num>
  <w:num w:numId="5" w16cid:durableId="1324701042">
    <w:abstractNumId w:val="24"/>
  </w:num>
  <w:num w:numId="6" w16cid:durableId="1941067647">
    <w:abstractNumId w:val="0"/>
  </w:num>
  <w:num w:numId="7" w16cid:durableId="143083238">
    <w:abstractNumId w:val="13"/>
  </w:num>
  <w:num w:numId="8" w16cid:durableId="1429545103">
    <w:abstractNumId w:val="8"/>
  </w:num>
  <w:num w:numId="9" w16cid:durableId="1336303509">
    <w:abstractNumId w:val="17"/>
  </w:num>
  <w:num w:numId="10" w16cid:durableId="874923470">
    <w:abstractNumId w:val="4"/>
  </w:num>
  <w:num w:numId="11" w16cid:durableId="1749644560">
    <w:abstractNumId w:val="16"/>
  </w:num>
  <w:num w:numId="12" w16cid:durableId="1270509758">
    <w:abstractNumId w:val="19"/>
  </w:num>
  <w:num w:numId="13" w16cid:durableId="1654411857">
    <w:abstractNumId w:val="11"/>
  </w:num>
  <w:num w:numId="14" w16cid:durableId="2096632401">
    <w:abstractNumId w:val="15"/>
  </w:num>
  <w:num w:numId="15" w16cid:durableId="162014247">
    <w:abstractNumId w:val="14"/>
  </w:num>
  <w:num w:numId="16" w16cid:durableId="1780294647">
    <w:abstractNumId w:val="9"/>
  </w:num>
  <w:num w:numId="17" w16cid:durableId="803473430">
    <w:abstractNumId w:val="6"/>
  </w:num>
  <w:num w:numId="18" w16cid:durableId="731852557">
    <w:abstractNumId w:val="10"/>
  </w:num>
  <w:num w:numId="19" w16cid:durableId="51392927">
    <w:abstractNumId w:val="2"/>
  </w:num>
  <w:num w:numId="20" w16cid:durableId="1088230477">
    <w:abstractNumId w:val="3"/>
  </w:num>
  <w:num w:numId="21" w16cid:durableId="1780644637">
    <w:abstractNumId w:val="12"/>
  </w:num>
  <w:num w:numId="22" w16cid:durableId="1473793185">
    <w:abstractNumId w:val="5"/>
  </w:num>
  <w:num w:numId="23" w16cid:durableId="2135706069">
    <w:abstractNumId w:val="21"/>
  </w:num>
  <w:num w:numId="24" w16cid:durableId="1537934511">
    <w:abstractNumId w:val="20"/>
  </w:num>
  <w:num w:numId="25" w16cid:durableId="1187256398">
    <w:abstractNumId w:val="7"/>
  </w:num>
  <w:num w:numId="26" w16cid:durableId="148242681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15B04"/>
    <w:rsid w:val="0002271B"/>
    <w:rsid w:val="00025D39"/>
    <w:rsid w:val="000260E9"/>
    <w:rsid w:val="000304AD"/>
    <w:rsid w:val="00030C2F"/>
    <w:rsid w:val="00081B8B"/>
    <w:rsid w:val="00083BAA"/>
    <w:rsid w:val="000A366E"/>
    <w:rsid w:val="000A58D7"/>
    <w:rsid w:val="000B668D"/>
    <w:rsid w:val="000D779A"/>
    <w:rsid w:val="0010680C"/>
    <w:rsid w:val="001116CA"/>
    <w:rsid w:val="001155E8"/>
    <w:rsid w:val="001274BE"/>
    <w:rsid w:val="00134978"/>
    <w:rsid w:val="00147CDF"/>
    <w:rsid w:val="0015138E"/>
    <w:rsid w:val="00152B0B"/>
    <w:rsid w:val="00161E00"/>
    <w:rsid w:val="00172AA9"/>
    <w:rsid w:val="00172E01"/>
    <w:rsid w:val="001766D6"/>
    <w:rsid w:val="00192419"/>
    <w:rsid w:val="001B0E2D"/>
    <w:rsid w:val="001B346A"/>
    <w:rsid w:val="001C270D"/>
    <w:rsid w:val="001C788A"/>
    <w:rsid w:val="001D5DC7"/>
    <w:rsid w:val="001D7B15"/>
    <w:rsid w:val="001E2320"/>
    <w:rsid w:val="00214E28"/>
    <w:rsid w:val="00220213"/>
    <w:rsid w:val="002473CE"/>
    <w:rsid w:val="0025202E"/>
    <w:rsid w:val="00252CA6"/>
    <w:rsid w:val="00253D59"/>
    <w:rsid w:val="002718FE"/>
    <w:rsid w:val="0028635E"/>
    <w:rsid w:val="002A12B3"/>
    <w:rsid w:val="002B3723"/>
    <w:rsid w:val="002B7887"/>
    <w:rsid w:val="002C2420"/>
    <w:rsid w:val="00304299"/>
    <w:rsid w:val="00311EEC"/>
    <w:rsid w:val="003209C5"/>
    <w:rsid w:val="003337B8"/>
    <w:rsid w:val="0033689F"/>
    <w:rsid w:val="00351844"/>
    <w:rsid w:val="00352B81"/>
    <w:rsid w:val="00356E1F"/>
    <w:rsid w:val="003642F6"/>
    <w:rsid w:val="00370D79"/>
    <w:rsid w:val="00381A47"/>
    <w:rsid w:val="00394757"/>
    <w:rsid w:val="003A0150"/>
    <w:rsid w:val="003B08F4"/>
    <w:rsid w:val="003B11AC"/>
    <w:rsid w:val="003D3178"/>
    <w:rsid w:val="003E0CD0"/>
    <w:rsid w:val="003E24DF"/>
    <w:rsid w:val="003F1F52"/>
    <w:rsid w:val="0041428F"/>
    <w:rsid w:val="00437490"/>
    <w:rsid w:val="0044172F"/>
    <w:rsid w:val="0044315E"/>
    <w:rsid w:val="00461DF2"/>
    <w:rsid w:val="00466C24"/>
    <w:rsid w:val="0047476D"/>
    <w:rsid w:val="00481412"/>
    <w:rsid w:val="0048690A"/>
    <w:rsid w:val="004A2B0D"/>
    <w:rsid w:val="004B1ED5"/>
    <w:rsid w:val="004B3317"/>
    <w:rsid w:val="004D3390"/>
    <w:rsid w:val="00536546"/>
    <w:rsid w:val="005456B4"/>
    <w:rsid w:val="00566D53"/>
    <w:rsid w:val="00583CC9"/>
    <w:rsid w:val="005C2210"/>
    <w:rsid w:val="005C7D03"/>
    <w:rsid w:val="005D25FE"/>
    <w:rsid w:val="005D3179"/>
    <w:rsid w:val="00604A11"/>
    <w:rsid w:val="00610D95"/>
    <w:rsid w:val="00612048"/>
    <w:rsid w:val="00615018"/>
    <w:rsid w:val="0062123A"/>
    <w:rsid w:val="00641398"/>
    <w:rsid w:val="00641FA1"/>
    <w:rsid w:val="00642872"/>
    <w:rsid w:val="00646E75"/>
    <w:rsid w:val="00660FD2"/>
    <w:rsid w:val="0066288F"/>
    <w:rsid w:val="00683C09"/>
    <w:rsid w:val="00691A40"/>
    <w:rsid w:val="006A3A2A"/>
    <w:rsid w:val="006A7513"/>
    <w:rsid w:val="006B275F"/>
    <w:rsid w:val="006B2DEF"/>
    <w:rsid w:val="006D1B73"/>
    <w:rsid w:val="006D36F6"/>
    <w:rsid w:val="006F3D66"/>
    <w:rsid w:val="006F6F10"/>
    <w:rsid w:val="00713A50"/>
    <w:rsid w:val="00727407"/>
    <w:rsid w:val="00764EA7"/>
    <w:rsid w:val="00774A77"/>
    <w:rsid w:val="00783E79"/>
    <w:rsid w:val="007963AA"/>
    <w:rsid w:val="007A7EA3"/>
    <w:rsid w:val="007B5AE8"/>
    <w:rsid w:val="007E5AB2"/>
    <w:rsid w:val="007E613B"/>
    <w:rsid w:val="007F10E5"/>
    <w:rsid w:val="007F5192"/>
    <w:rsid w:val="0080059C"/>
    <w:rsid w:val="00801474"/>
    <w:rsid w:val="008157DD"/>
    <w:rsid w:val="00831721"/>
    <w:rsid w:val="00841BB6"/>
    <w:rsid w:val="00851F2C"/>
    <w:rsid w:val="00855A32"/>
    <w:rsid w:val="00862A06"/>
    <w:rsid w:val="00864624"/>
    <w:rsid w:val="00867B68"/>
    <w:rsid w:val="00871C6B"/>
    <w:rsid w:val="00874930"/>
    <w:rsid w:val="008D73D1"/>
    <w:rsid w:val="008D77A5"/>
    <w:rsid w:val="008F1B3D"/>
    <w:rsid w:val="008F4381"/>
    <w:rsid w:val="00900D19"/>
    <w:rsid w:val="00930335"/>
    <w:rsid w:val="00950F94"/>
    <w:rsid w:val="0095582D"/>
    <w:rsid w:val="0097583B"/>
    <w:rsid w:val="009916E6"/>
    <w:rsid w:val="009C7487"/>
    <w:rsid w:val="009D6906"/>
    <w:rsid w:val="009E2575"/>
    <w:rsid w:val="009F2703"/>
    <w:rsid w:val="009F7957"/>
    <w:rsid w:val="00A24A1E"/>
    <w:rsid w:val="00A26FE7"/>
    <w:rsid w:val="00A4026D"/>
    <w:rsid w:val="00A47328"/>
    <w:rsid w:val="00A4755F"/>
    <w:rsid w:val="00A52EDF"/>
    <w:rsid w:val="00A57165"/>
    <w:rsid w:val="00A66B18"/>
    <w:rsid w:val="00A6783B"/>
    <w:rsid w:val="00A81D63"/>
    <w:rsid w:val="00A8501E"/>
    <w:rsid w:val="00A96CF8"/>
    <w:rsid w:val="00AA089B"/>
    <w:rsid w:val="00AA4A42"/>
    <w:rsid w:val="00AB25BC"/>
    <w:rsid w:val="00AC077D"/>
    <w:rsid w:val="00AE1388"/>
    <w:rsid w:val="00AE1E04"/>
    <w:rsid w:val="00AF01CC"/>
    <w:rsid w:val="00AF1D28"/>
    <w:rsid w:val="00AF3982"/>
    <w:rsid w:val="00B00EBF"/>
    <w:rsid w:val="00B034D3"/>
    <w:rsid w:val="00B116F7"/>
    <w:rsid w:val="00B14F9E"/>
    <w:rsid w:val="00B209A9"/>
    <w:rsid w:val="00B22FB4"/>
    <w:rsid w:val="00B37AC7"/>
    <w:rsid w:val="00B45A70"/>
    <w:rsid w:val="00B50294"/>
    <w:rsid w:val="00B57D6E"/>
    <w:rsid w:val="00B6386B"/>
    <w:rsid w:val="00B646AF"/>
    <w:rsid w:val="00B93312"/>
    <w:rsid w:val="00BA2803"/>
    <w:rsid w:val="00BD39D8"/>
    <w:rsid w:val="00BD4C07"/>
    <w:rsid w:val="00BE0804"/>
    <w:rsid w:val="00BF3FB6"/>
    <w:rsid w:val="00C02875"/>
    <w:rsid w:val="00C701F7"/>
    <w:rsid w:val="00C70786"/>
    <w:rsid w:val="00C74891"/>
    <w:rsid w:val="00C7626C"/>
    <w:rsid w:val="00C83621"/>
    <w:rsid w:val="00C91E70"/>
    <w:rsid w:val="00CA387F"/>
    <w:rsid w:val="00CB7E1C"/>
    <w:rsid w:val="00CD0876"/>
    <w:rsid w:val="00CD3A1F"/>
    <w:rsid w:val="00CF226A"/>
    <w:rsid w:val="00CF6C75"/>
    <w:rsid w:val="00D05629"/>
    <w:rsid w:val="00D10958"/>
    <w:rsid w:val="00D2382E"/>
    <w:rsid w:val="00D4441F"/>
    <w:rsid w:val="00D47C09"/>
    <w:rsid w:val="00D513FE"/>
    <w:rsid w:val="00D66593"/>
    <w:rsid w:val="00DE3C51"/>
    <w:rsid w:val="00DE6DA2"/>
    <w:rsid w:val="00DE6F9B"/>
    <w:rsid w:val="00DE7FE3"/>
    <w:rsid w:val="00DF2D30"/>
    <w:rsid w:val="00DF459B"/>
    <w:rsid w:val="00E0776F"/>
    <w:rsid w:val="00E17402"/>
    <w:rsid w:val="00E2004E"/>
    <w:rsid w:val="00E4786A"/>
    <w:rsid w:val="00E55D74"/>
    <w:rsid w:val="00E6540C"/>
    <w:rsid w:val="00E7790B"/>
    <w:rsid w:val="00E81E2A"/>
    <w:rsid w:val="00E82A8E"/>
    <w:rsid w:val="00E841ED"/>
    <w:rsid w:val="00E9358F"/>
    <w:rsid w:val="00E93B6A"/>
    <w:rsid w:val="00EA0C70"/>
    <w:rsid w:val="00EA599F"/>
    <w:rsid w:val="00EB7C39"/>
    <w:rsid w:val="00EC0439"/>
    <w:rsid w:val="00EC563A"/>
    <w:rsid w:val="00EE0952"/>
    <w:rsid w:val="00EF64EA"/>
    <w:rsid w:val="00F000AF"/>
    <w:rsid w:val="00F01035"/>
    <w:rsid w:val="00F12DA8"/>
    <w:rsid w:val="00F170DC"/>
    <w:rsid w:val="00F2796B"/>
    <w:rsid w:val="00F27C78"/>
    <w:rsid w:val="00F4131A"/>
    <w:rsid w:val="00F8747D"/>
    <w:rsid w:val="00FA14BA"/>
    <w:rsid w:val="00FC3ECC"/>
    <w:rsid w:val="00FE014B"/>
    <w:rsid w:val="00FE0456"/>
    <w:rsid w:val="00FE05B8"/>
    <w:rsid w:val="00FE0F43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  <w15:docId w15:val="{6D4BB920-22D2-4329-ABC9-DA0DD796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876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Century Gothic" w:eastAsiaTheme="minorHAnsi" w:hAnsi="Century Gothic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rsid w:val="001B0E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67F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22"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CD0876"/>
    <w:pPr>
      <w:tabs>
        <w:tab w:val="left" w:pos="1675"/>
      </w:tabs>
      <w:spacing w:line="240" w:lineRule="exact"/>
      <w:ind w:left="0" w:right="0"/>
    </w:pPr>
    <w:rPr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A81D63"/>
    <w:pPr>
      <w:ind w:left="720" w:right="720"/>
    </w:pPr>
    <w:rPr>
      <w:rFonts w:ascii="Century Gothic" w:eastAsiaTheme="minorHAnsi" w:hAnsi="Century Gothic"/>
      <w:b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dpis0">
    <w:name w:val="podpis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slostrany">
    <w:name w:val="číslo strany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220" w:line="240" w:lineRule="auto"/>
      <w:jc w:val="center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przdndek">
    <w:name w:val="prázdný řádek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adresa0">
    <w:name w:val="adresa"/>
    <w:basedOn w:val="Normln"/>
    <w:qFormat/>
    <w:rsid w:val="00CD087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eastAsia="Calibri" w:cs="Times New Roman"/>
      <w:color w:val="auto"/>
      <w:kern w:val="0"/>
      <w:sz w:val="22"/>
      <w:szCs w:val="22"/>
      <w:lang w:eastAsia="en-US"/>
    </w:rPr>
  </w:style>
  <w:style w:type="paragraph" w:customStyle="1" w:styleId="patika">
    <w:name w:val="patička"/>
    <w:basedOn w:val="Normln"/>
    <w:qFormat/>
    <w:rsid w:val="006F3D66"/>
    <w:pPr>
      <w:tabs>
        <w:tab w:val="clear" w:pos="1134"/>
        <w:tab w:val="clear" w:pos="3402"/>
        <w:tab w:val="clear" w:pos="5670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16"/>
      <w:szCs w:val="18"/>
      <w:lang w:eastAsia="en-US"/>
    </w:rPr>
  </w:style>
  <w:style w:type="paragraph" w:customStyle="1" w:styleId="pole">
    <w:name w:val="pole"/>
    <w:basedOn w:val="Bezmezer"/>
    <w:qFormat/>
    <w:rsid w:val="00CD0876"/>
    <w:pPr>
      <w:tabs>
        <w:tab w:val="left" w:pos="1701"/>
      </w:tabs>
      <w:ind w:left="1701" w:right="0" w:hanging="1701"/>
    </w:pPr>
    <w:rPr>
      <w:rFonts w:eastAsia="Calibri" w:cs="Times New Roman"/>
      <w:color w:val="auto"/>
      <w:kern w:val="0"/>
      <w:sz w:val="18"/>
      <w:szCs w:val="22"/>
      <w:lang w:eastAsia="en-US"/>
    </w:rPr>
  </w:style>
  <w:style w:type="paragraph" w:customStyle="1" w:styleId="plohy">
    <w:name w:val="přílohy"/>
    <w:basedOn w:val="Normln"/>
    <w:qFormat/>
    <w:rsid w:val="008157DD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b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A81D63"/>
    <w:pPr>
      <w:ind w:left="720"/>
      <w:contextualSpacing/>
    </w:pPr>
  </w:style>
  <w:style w:type="paragraph" w:customStyle="1" w:styleId="Zhlav2">
    <w:name w:val="Záhlaví 2"/>
    <w:basedOn w:val="Zhlav"/>
    <w:qFormat/>
    <w:rsid w:val="009C7487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table" w:styleId="Mkatabulky">
    <w:name w:val="Table Grid"/>
    <w:basedOn w:val="Normlntabulka"/>
    <w:uiPriority w:val="39"/>
    <w:rsid w:val="001274B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1B0E2D"/>
    <w:rPr>
      <w:rFonts w:asciiTheme="majorHAnsi" w:eastAsiaTheme="majorEastAsia" w:hAnsiTheme="majorHAnsi" w:cstheme="majorBidi"/>
      <w:color w:val="00067F" w:themeColor="accent1" w:themeShade="7F"/>
      <w:kern w:val="20"/>
    </w:rPr>
  </w:style>
  <w:style w:type="character" w:styleId="Zdraznn">
    <w:name w:val="Emphasis"/>
    <w:basedOn w:val="Standardnpsmoodstavce"/>
    <w:uiPriority w:val="20"/>
    <w:qFormat/>
    <w:rsid w:val="001B0E2D"/>
    <w:rPr>
      <w:i/>
      <w:iCs/>
    </w:rPr>
  </w:style>
  <w:style w:type="paragraph" w:styleId="Zkladntext">
    <w:name w:val="Body Text"/>
    <w:basedOn w:val="Normln"/>
    <w:link w:val="ZkladntextChar"/>
    <w:rsid w:val="00867B6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jc w:val="left"/>
    </w:pPr>
    <w:rPr>
      <w:rFonts w:ascii="Times New Roman" w:eastAsia="Times New Roman" w:hAnsi="Times New Roman" w:cs="Times New Roman"/>
      <w:bCs/>
      <w:color w:val="000000"/>
      <w:kern w:val="0"/>
      <w:sz w:val="28"/>
      <w:szCs w:val="24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867B68"/>
    <w:rPr>
      <w:rFonts w:ascii="Times New Roman" w:eastAsia="Times New Roman" w:hAnsi="Times New Roman" w:cs="Times New Roman"/>
      <w:bCs/>
      <w:color w:val="000000"/>
      <w:sz w:val="28"/>
      <w:lang w:eastAsia="en-US"/>
    </w:rPr>
  </w:style>
  <w:style w:type="character" w:customStyle="1" w:styleId="CharStyle6">
    <w:name w:val="Char Style 6"/>
    <w:basedOn w:val="Standardnpsmoodstavce"/>
    <w:link w:val="Style5"/>
    <w:rsid w:val="00867B68"/>
    <w:rPr>
      <w:rFonts w:ascii="Arial" w:eastAsia="Arial" w:hAnsi="Arial" w:cs="Arial"/>
      <w:b/>
      <w:bCs/>
      <w:shd w:val="clear" w:color="auto" w:fill="FFFFFF"/>
    </w:rPr>
  </w:style>
  <w:style w:type="paragraph" w:customStyle="1" w:styleId="Style5">
    <w:name w:val="Style 5"/>
    <w:basedOn w:val="Normln"/>
    <w:link w:val="CharStyle6"/>
    <w:rsid w:val="00867B68"/>
    <w:pPr>
      <w:widowControl w:val="0"/>
      <w:shd w:val="clear" w:color="auto" w:fill="FFFFFF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540" w:after="200" w:line="224" w:lineRule="exact"/>
      <w:outlineLvl w:val="1"/>
    </w:pPr>
    <w:rPr>
      <w:rFonts w:ascii="Arial" w:eastAsia="Arial" w:hAnsi="Arial" w:cs="Arial"/>
      <w:b/>
      <w:bCs/>
      <w:color w:val="auto"/>
      <w:kern w:val="0"/>
      <w:sz w:val="24"/>
      <w:szCs w:val="24"/>
    </w:rPr>
  </w:style>
  <w:style w:type="character" w:customStyle="1" w:styleId="CharStyle13">
    <w:name w:val="Char Style 13"/>
    <w:basedOn w:val="Standardnpsmoodstavce"/>
    <w:rsid w:val="00867B6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CharStyle12">
    <w:name w:val="Char Style 12"/>
    <w:basedOn w:val="Standardnpsmoodstavce"/>
    <w:link w:val="Style11"/>
    <w:rsid w:val="00867B68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Style11">
    <w:name w:val="Style 11"/>
    <w:basedOn w:val="Normln"/>
    <w:link w:val="CharStyle12"/>
    <w:rsid w:val="00867B68"/>
    <w:pPr>
      <w:widowControl w:val="0"/>
      <w:shd w:val="clear" w:color="auto" w:fill="FFFFFF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540" w:after="540"/>
      <w:ind w:hanging="320"/>
    </w:pPr>
    <w:rPr>
      <w:rFonts w:ascii="Arial" w:eastAsia="Arial" w:hAnsi="Arial" w:cs="Arial"/>
      <w:color w:val="auto"/>
      <w:kern w:val="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aspi://module='ASPI'&amp;link='117/2001%20Sb.%252312'&amp;ucin-k-dni='30.12.9999'" TargetMode="External"/><Relationship Id="rId18" Type="http://schemas.openxmlformats.org/officeDocument/2006/relationships/oleObject" Target="embeddings/Microsoft_Word_97_-_2003_Document1.doc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aspi://module='ASPI'&amp;link='117/2001%20Sb.%2523'&amp;ucin-k-dni='30.12.9999'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aspi://module='ASPI'&amp;link='117/2001%20Sb.%252313'&amp;ucin-k-dni='30.12.9999'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34C4D2-5B80-48E5-95F2-6EFAF6E526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28</TotalTime>
  <Pages>2</Pages>
  <Words>770</Words>
  <Characters>4547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Válková Michaela</dc:creator>
  <cp:keywords/>
  <dc:description/>
  <cp:lastModifiedBy>Válková Michaela</cp:lastModifiedBy>
  <cp:revision>4</cp:revision>
  <dcterms:created xsi:type="dcterms:W3CDTF">2025-01-02T14:51:00Z</dcterms:created>
  <dcterms:modified xsi:type="dcterms:W3CDTF">2025-01-03T07:54:00Z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