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562" w:type="dxa"/>
        <w:tblInd w:w="-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62"/>
      </w:tblGrid>
      <w:tr w:rsidR="001C788F" w:rsidRPr="00B42E03" w14:paraId="0211DD3B" w14:textId="77777777" w:rsidTr="007C099A">
        <w:trPr>
          <w:trHeight w:hRule="exact" w:val="518"/>
        </w:trPr>
        <w:tc>
          <w:tcPr>
            <w:tcW w:w="14562" w:type="dxa"/>
            <w:tcBorders>
              <w:bottom w:val="single" w:sz="12" w:space="0" w:color="FFFFFF"/>
            </w:tcBorders>
            <w:shd w:val="clear" w:color="auto" w:fill="6EACDD"/>
          </w:tcPr>
          <w:p w14:paraId="40E73CBC" w14:textId="77777777" w:rsidR="001C788F" w:rsidRPr="00B42E03" w:rsidRDefault="001C788F" w:rsidP="007C099A">
            <w:pPr>
              <w:pStyle w:val="Zhlav"/>
              <w:spacing w:after="120"/>
              <w:jc w:val="both"/>
              <w:rPr>
                <w:rFonts w:ascii="Century Gothic" w:hAnsi="Century Gothic"/>
              </w:rPr>
            </w:pPr>
          </w:p>
        </w:tc>
      </w:tr>
      <w:tr w:rsidR="001C788F" w:rsidRPr="00B42E03" w14:paraId="55C8992C" w14:textId="77777777" w:rsidTr="007C099A">
        <w:trPr>
          <w:trHeight w:hRule="exact" w:val="278"/>
        </w:trPr>
        <w:tc>
          <w:tcPr>
            <w:tcW w:w="14562" w:type="dxa"/>
            <w:tcBorders>
              <w:top w:val="single" w:sz="12" w:space="0" w:color="FFFFFF"/>
            </w:tcBorders>
            <w:shd w:val="clear" w:color="auto" w:fill="185BA1"/>
          </w:tcPr>
          <w:p w14:paraId="0260C740" w14:textId="77777777" w:rsidR="001C788F" w:rsidRPr="00B42E03" w:rsidRDefault="001C788F" w:rsidP="007C099A">
            <w:pPr>
              <w:pStyle w:val="Zhlav"/>
              <w:spacing w:after="120"/>
              <w:jc w:val="both"/>
              <w:rPr>
                <w:rFonts w:ascii="Century Gothic" w:hAnsi="Century Gothic"/>
              </w:rPr>
            </w:pPr>
          </w:p>
        </w:tc>
      </w:tr>
    </w:tbl>
    <w:p w14:paraId="61BCCD9D" w14:textId="77777777" w:rsidR="001C788F" w:rsidRDefault="001C788F" w:rsidP="001C788F">
      <w:pPr>
        <w:spacing w:after="0" w:line="240" w:lineRule="auto"/>
        <w:jc w:val="center"/>
        <w:outlineLvl w:val="0"/>
        <w:rPr>
          <w:rFonts w:ascii="Century Gothic" w:eastAsia="Times New Roman" w:hAnsi="Century Gothic" w:cs="Helvetica"/>
          <w:b/>
          <w:kern w:val="36"/>
          <w:sz w:val="24"/>
          <w:szCs w:val="24"/>
          <w:lang w:eastAsia="cs-CZ"/>
        </w:rPr>
      </w:pPr>
    </w:p>
    <w:p w14:paraId="756914D9" w14:textId="52D24681" w:rsidR="009A0643" w:rsidRPr="006D1171" w:rsidRDefault="005F2F8A" w:rsidP="001C788F">
      <w:pPr>
        <w:spacing w:after="120" w:line="240" w:lineRule="auto"/>
        <w:jc w:val="center"/>
        <w:rPr>
          <w:rFonts w:ascii="Century Gothic" w:eastAsia="Times New Roman" w:hAnsi="Century Gothic" w:cs="Helvetica"/>
          <w:b/>
          <w:kern w:val="36"/>
          <w:sz w:val="24"/>
          <w:szCs w:val="24"/>
          <w:lang w:eastAsia="cs-CZ"/>
        </w:rPr>
      </w:pPr>
      <w:r w:rsidRPr="006D1171">
        <w:rPr>
          <w:rFonts w:ascii="Century Gothic" w:eastAsia="Times New Roman" w:hAnsi="Century Gothic" w:cs="Helvetica"/>
          <w:b/>
          <w:kern w:val="36"/>
          <w:sz w:val="24"/>
          <w:szCs w:val="24"/>
          <w:lang w:eastAsia="cs-CZ"/>
        </w:rPr>
        <w:t>Hlavní zjištění</w:t>
      </w:r>
      <w:r w:rsidR="009A0643" w:rsidRPr="006D1171">
        <w:rPr>
          <w:rFonts w:ascii="Century Gothic" w:eastAsia="Times New Roman" w:hAnsi="Century Gothic" w:cs="Helvetica"/>
          <w:b/>
          <w:kern w:val="36"/>
          <w:sz w:val="24"/>
          <w:szCs w:val="24"/>
          <w:lang w:eastAsia="cs-CZ"/>
        </w:rPr>
        <w:t xml:space="preserve"> výzkumného šetření rizikového chování, </w:t>
      </w:r>
      <w:proofErr w:type="spellStart"/>
      <w:r w:rsidR="009A0643" w:rsidRPr="006D1171">
        <w:rPr>
          <w:rFonts w:ascii="Century Gothic" w:eastAsia="Times New Roman" w:hAnsi="Century Gothic" w:cs="Helvetica"/>
          <w:b/>
          <w:kern w:val="36"/>
          <w:sz w:val="24"/>
          <w:szCs w:val="24"/>
          <w:lang w:eastAsia="cs-CZ"/>
        </w:rPr>
        <w:t>wellbeingu</w:t>
      </w:r>
      <w:proofErr w:type="spellEnd"/>
      <w:r w:rsidR="009A0643" w:rsidRPr="006D1171">
        <w:rPr>
          <w:rFonts w:ascii="Century Gothic" w:eastAsia="Times New Roman" w:hAnsi="Century Gothic" w:cs="Helvetica"/>
          <w:b/>
          <w:kern w:val="36"/>
          <w:sz w:val="24"/>
          <w:szCs w:val="24"/>
          <w:lang w:eastAsia="cs-CZ"/>
        </w:rPr>
        <w:t xml:space="preserve"> a</w:t>
      </w:r>
      <w:r w:rsidR="001C788F">
        <w:rPr>
          <w:rFonts w:ascii="Century Gothic" w:eastAsia="Times New Roman" w:hAnsi="Century Gothic" w:cs="Helvetica"/>
          <w:b/>
          <w:kern w:val="36"/>
          <w:sz w:val="24"/>
          <w:szCs w:val="24"/>
          <w:lang w:eastAsia="cs-CZ"/>
        </w:rPr>
        <w:t> </w:t>
      </w:r>
      <w:r w:rsidR="009A0643" w:rsidRPr="006D1171">
        <w:rPr>
          <w:rFonts w:ascii="Century Gothic" w:eastAsia="Times New Roman" w:hAnsi="Century Gothic" w:cs="Helvetica"/>
          <w:b/>
          <w:kern w:val="36"/>
          <w:sz w:val="24"/>
          <w:szCs w:val="24"/>
          <w:lang w:eastAsia="cs-CZ"/>
        </w:rPr>
        <w:t>duševního zdraví žáků v Ústeckém kraji</w:t>
      </w:r>
    </w:p>
    <w:p w14:paraId="2AB8835C" w14:textId="450D9357" w:rsidR="00131B6D" w:rsidRDefault="003526DD" w:rsidP="00131B6D">
      <w:pPr>
        <w:pStyle w:val="Odstavecseseznamem"/>
        <w:spacing w:before="100" w:beforeAutospacing="1"/>
        <w:ind w:left="0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Výzkum probíhal od poloviny letošního roku, šetření se zúčastnilo 2</w:t>
      </w:r>
      <w:r w:rsidR="00581D69" w:rsidRPr="006D1171">
        <w:rPr>
          <w:rFonts w:ascii="Century Gothic" w:hAnsi="Century Gothic" w:cstheme="majorHAnsi"/>
          <w:sz w:val="20"/>
          <w:szCs w:val="20"/>
        </w:rPr>
        <w:t>7</w:t>
      </w:r>
      <w:r w:rsidR="00B97DBF">
        <w:rPr>
          <w:rFonts w:ascii="Century Gothic" w:hAnsi="Century Gothic" w:cstheme="majorHAnsi"/>
          <w:sz w:val="20"/>
          <w:szCs w:val="20"/>
        </w:rPr>
        <w:t xml:space="preserve"> </w:t>
      </w:r>
      <w:r w:rsidR="00581D69" w:rsidRPr="006D1171">
        <w:rPr>
          <w:rFonts w:ascii="Century Gothic" w:hAnsi="Century Gothic" w:cstheme="majorHAnsi"/>
          <w:sz w:val="20"/>
          <w:szCs w:val="20"/>
        </w:rPr>
        <w:t>683</w:t>
      </w:r>
      <w:r w:rsidRPr="006D1171">
        <w:rPr>
          <w:rFonts w:ascii="Century Gothic" w:hAnsi="Century Gothic" w:cstheme="majorHAnsi"/>
          <w:sz w:val="20"/>
          <w:szCs w:val="20"/>
        </w:rPr>
        <w:t xml:space="preserve"> žáků</w:t>
      </w:r>
      <w:r w:rsidR="00264D83" w:rsidRPr="006D1171">
        <w:rPr>
          <w:rFonts w:ascii="Century Gothic" w:hAnsi="Century Gothic" w:cstheme="majorHAnsi"/>
          <w:sz w:val="20"/>
          <w:szCs w:val="20"/>
        </w:rPr>
        <w:t xml:space="preserve"> druhého </w:t>
      </w:r>
      <w:r w:rsidRPr="006D1171">
        <w:rPr>
          <w:rFonts w:ascii="Century Gothic" w:hAnsi="Century Gothic" w:cstheme="majorHAnsi"/>
          <w:sz w:val="20"/>
          <w:szCs w:val="20"/>
        </w:rPr>
        <w:t xml:space="preserve">stupně základních škol a středních škol v celém Ústeckém kraji. </w:t>
      </w:r>
      <w:r w:rsidR="00131B6D" w:rsidRPr="00131B6D">
        <w:rPr>
          <w:rFonts w:ascii="Century Gothic" w:hAnsi="Century Gothic" w:cstheme="majorHAnsi"/>
          <w:sz w:val="20"/>
          <w:szCs w:val="20"/>
        </w:rPr>
        <w:t>Za účelem zpřesnění výpovědní hodnoty dat bylo před jejich zpracováním provedeno čištění. Z původního počtu bylo vyřazeno celkem 6 715 respondentů, výsledný výzkumný vzorek tvoř</w:t>
      </w:r>
      <w:r w:rsidR="006067B5">
        <w:rPr>
          <w:rFonts w:ascii="Century Gothic" w:hAnsi="Century Gothic" w:cstheme="majorHAnsi"/>
          <w:sz w:val="20"/>
          <w:szCs w:val="20"/>
        </w:rPr>
        <w:t>ilo</w:t>
      </w:r>
      <w:r w:rsidR="00131B6D" w:rsidRPr="00131B6D">
        <w:rPr>
          <w:rFonts w:ascii="Century Gothic" w:hAnsi="Century Gothic" w:cstheme="majorHAnsi"/>
          <w:sz w:val="20"/>
          <w:szCs w:val="20"/>
        </w:rPr>
        <w:t xml:space="preserve"> celkem 20 968 respondentů.</w:t>
      </w:r>
    </w:p>
    <w:p w14:paraId="4D0B0F57" w14:textId="77777777" w:rsidR="00131B6D" w:rsidRPr="00131B6D" w:rsidRDefault="00131B6D" w:rsidP="00131B6D">
      <w:pPr>
        <w:pStyle w:val="Odstavecseseznamem"/>
        <w:spacing w:before="100" w:beforeAutospacing="1"/>
        <w:ind w:left="0"/>
        <w:rPr>
          <w:rFonts w:ascii="Century Gothic" w:hAnsi="Century Gothic" w:cstheme="majorHAnsi"/>
          <w:sz w:val="20"/>
          <w:szCs w:val="20"/>
        </w:rPr>
      </w:pPr>
    </w:p>
    <w:p w14:paraId="47A79926" w14:textId="03942908" w:rsidR="00581D69" w:rsidRPr="006D1171" w:rsidRDefault="003526DD" w:rsidP="006D1171">
      <w:pPr>
        <w:pStyle w:val="Odstavecseseznamem"/>
        <w:spacing w:before="100" w:beforeAutospacing="1"/>
        <w:ind w:left="0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 xml:space="preserve">Zapojeny byly všechny typy středních škol. Jde o </w:t>
      </w:r>
      <w:r w:rsidR="00581D69" w:rsidRPr="006D1171">
        <w:rPr>
          <w:rFonts w:ascii="Century Gothic" w:hAnsi="Century Gothic" w:cstheme="majorHAnsi"/>
          <w:sz w:val="20"/>
          <w:szCs w:val="20"/>
        </w:rPr>
        <w:t xml:space="preserve">nejrozsáhlejší a </w:t>
      </w:r>
      <w:r w:rsidRPr="006D1171">
        <w:rPr>
          <w:rFonts w:ascii="Century Gothic" w:hAnsi="Century Gothic" w:cstheme="majorHAnsi"/>
          <w:sz w:val="20"/>
          <w:szCs w:val="20"/>
        </w:rPr>
        <w:t>nejkomplexnější výzkum duševního zdraví a rizikového chování dětí v historii České republiky. Ústecký kraj se na jeho realizaci podílel v rámci rozvoje preventivních služeb a mapování reálných potřeb na svém území.</w:t>
      </w:r>
      <w:r w:rsidR="00581D69" w:rsidRPr="006D1171">
        <w:rPr>
          <w:rFonts w:ascii="Century Gothic" w:eastAsia="Times New Roman" w:hAnsi="Century Gothic" w:cs="Times New Roman"/>
          <w:sz w:val="20"/>
          <w:szCs w:val="20"/>
          <w:lang w:eastAsia="cs-CZ"/>
        </w:rPr>
        <w:t xml:space="preserve"> </w:t>
      </w:r>
      <w:r w:rsidR="00581D69" w:rsidRPr="006D1171">
        <w:rPr>
          <w:rFonts w:ascii="Century Gothic" w:hAnsi="Century Gothic" w:cstheme="majorHAnsi"/>
          <w:sz w:val="20"/>
          <w:szCs w:val="20"/>
        </w:rPr>
        <w:t xml:space="preserve">Máme tak datově podložený obraz pro další směřování školské primární prevence v kraji. Data budou sloužit jako opora pro tvorbu krajských plánů primární prevence, účinné zacílení dotačních titulů a finanční pomoci, metodické vedení a celkové řízení systému prevence </w:t>
      </w:r>
      <w:r w:rsidR="00264D83" w:rsidRPr="006D1171">
        <w:rPr>
          <w:rFonts w:ascii="Century Gothic" w:hAnsi="Century Gothic" w:cstheme="majorHAnsi"/>
          <w:sz w:val="20"/>
          <w:szCs w:val="20"/>
        </w:rPr>
        <w:t>rizikového</w:t>
      </w:r>
      <w:r w:rsidR="00581D69" w:rsidRPr="006D1171">
        <w:rPr>
          <w:rFonts w:ascii="Century Gothic" w:hAnsi="Century Gothic" w:cstheme="majorHAnsi"/>
          <w:sz w:val="20"/>
          <w:szCs w:val="20"/>
        </w:rPr>
        <w:t xml:space="preserve"> chování a podpory žáků v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="00581D69" w:rsidRPr="006D1171">
        <w:rPr>
          <w:rFonts w:ascii="Century Gothic" w:hAnsi="Century Gothic" w:cstheme="majorHAnsi"/>
          <w:sz w:val="20"/>
          <w:szCs w:val="20"/>
        </w:rPr>
        <w:t xml:space="preserve">oblasti </w:t>
      </w:r>
      <w:proofErr w:type="spellStart"/>
      <w:r w:rsidR="00581D69" w:rsidRPr="006D1171">
        <w:rPr>
          <w:rFonts w:ascii="Century Gothic" w:hAnsi="Century Gothic" w:cstheme="majorHAnsi"/>
          <w:sz w:val="20"/>
          <w:szCs w:val="20"/>
        </w:rPr>
        <w:t>wellbeingu</w:t>
      </w:r>
      <w:proofErr w:type="spellEnd"/>
      <w:r w:rsidR="00581D69" w:rsidRPr="006D1171">
        <w:rPr>
          <w:rFonts w:ascii="Century Gothic" w:hAnsi="Century Gothic" w:cstheme="majorHAnsi"/>
          <w:sz w:val="20"/>
          <w:szCs w:val="20"/>
        </w:rPr>
        <w:t xml:space="preserve"> a duševního zdraví.</w:t>
      </w:r>
    </w:p>
    <w:p w14:paraId="1B116460" w14:textId="77777777" w:rsidR="005F2F8A" w:rsidRPr="006D1171" w:rsidRDefault="005F2F8A" w:rsidP="006D1171">
      <w:pPr>
        <w:pStyle w:val="Odstavecseseznamem"/>
        <w:spacing w:before="100" w:beforeAutospacing="1"/>
        <w:ind w:left="0"/>
        <w:jc w:val="both"/>
        <w:rPr>
          <w:rFonts w:ascii="Century Gothic" w:hAnsi="Century Gothic" w:cstheme="majorHAnsi"/>
          <w:sz w:val="20"/>
          <w:szCs w:val="20"/>
        </w:rPr>
      </w:pPr>
    </w:p>
    <w:p w14:paraId="079C79C7" w14:textId="33F6D9A4" w:rsidR="003526DD" w:rsidRPr="006D1171" w:rsidRDefault="005F2F8A" w:rsidP="006067B5">
      <w:pPr>
        <w:pStyle w:val="Odstavecseseznamem"/>
        <w:spacing w:before="100" w:beforeAutospacing="1"/>
        <w:ind w:left="0"/>
        <w:jc w:val="both"/>
        <w:rPr>
          <w:rFonts w:ascii="Century Gothic" w:hAnsi="Century Gothic"/>
          <w:i/>
          <w:color w:val="FF0000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Závěry se shodují s výsledky pilotního Národního monitoringu duševního zdraví žáků na základních školách v České republice, který provedl Národní ústav duševního zdraví ve spolupráci s Českou školní inspekcí.</w:t>
      </w:r>
      <w:r w:rsidR="006067B5">
        <w:rPr>
          <w:rFonts w:ascii="Century Gothic" w:hAnsi="Century Gothic" w:cstheme="majorHAnsi"/>
          <w:sz w:val="20"/>
          <w:szCs w:val="20"/>
        </w:rPr>
        <w:t xml:space="preserve"> </w:t>
      </w:r>
      <w:r w:rsidR="00581D69" w:rsidRPr="006D1171">
        <w:rPr>
          <w:rFonts w:ascii="Century Gothic" w:hAnsi="Century Gothic" w:cstheme="majorHAnsi"/>
          <w:sz w:val="20"/>
          <w:szCs w:val="20"/>
        </w:rPr>
        <w:t>Mezi jednotlivými ORP Ústeckého kraje jsou pak jen minimální rozdíly a duševní zdraví dětí v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="00581D69" w:rsidRPr="006D1171">
        <w:rPr>
          <w:rFonts w:ascii="Century Gothic" w:hAnsi="Century Gothic" w:cstheme="majorHAnsi"/>
          <w:sz w:val="20"/>
          <w:szCs w:val="20"/>
        </w:rPr>
        <w:t>Ústeckém kraji je celkově, při srovnání s jinými dostupnými daty, podobné jako jinde v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="00581D69" w:rsidRPr="006D1171">
        <w:rPr>
          <w:rFonts w:ascii="Century Gothic" w:hAnsi="Century Gothic" w:cstheme="majorHAnsi"/>
          <w:sz w:val="20"/>
          <w:szCs w:val="20"/>
        </w:rPr>
        <w:t>republice.</w:t>
      </w:r>
    </w:p>
    <w:p w14:paraId="27D786AB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Hlavní zjištění:</w:t>
      </w:r>
    </w:p>
    <w:p w14:paraId="125609EB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proofErr w:type="spellStart"/>
      <w:r w:rsidRPr="006D1171">
        <w:rPr>
          <w:rFonts w:ascii="Century Gothic" w:hAnsi="Century Gothic" w:cstheme="majorHAnsi"/>
          <w:b/>
          <w:bCs/>
          <w:sz w:val="20"/>
          <w:szCs w:val="20"/>
        </w:rPr>
        <w:t>Wellbeing</w:t>
      </w:r>
      <w:proofErr w:type="spellEnd"/>
    </w:p>
    <w:p w14:paraId="09C72DE7" w14:textId="47587DEF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 xml:space="preserve">Každý čtvrtý žák má velmi nízký </w:t>
      </w:r>
      <w:proofErr w:type="spellStart"/>
      <w:r w:rsidRPr="006D1171">
        <w:rPr>
          <w:rFonts w:ascii="Century Gothic" w:hAnsi="Century Gothic" w:cstheme="majorHAnsi"/>
          <w:b/>
          <w:sz w:val="20"/>
          <w:szCs w:val="20"/>
        </w:rPr>
        <w:t>wellbeing</w:t>
      </w:r>
      <w:proofErr w:type="spellEnd"/>
      <w:r w:rsidR="005F2F8A" w:rsidRPr="006D1171">
        <w:rPr>
          <w:rFonts w:ascii="Century Gothic" w:hAnsi="Century Gothic" w:cstheme="majorHAnsi"/>
          <w:b/>
          <w:sz w:val="20"/>
          <w:szCs w:val="20"/>
        </w:rPr>
        <w:t>.</w:t>
      </w:r>
    </w:p>
    <w:p w14:paraId="3938ACDE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 xml:space="preserve">Přesně čtvrtina žáků (24,9 %) vykazuje velmi nízký </w:t>
      </w:r>
      <w:proofErr w:type="spellStart"/>
      <w:r w:rsidRPr="006D1171">
        <w:rPr>
          <w:rFonts w:ascii="Century Gothic" w:hAnsi="Century Gothic" w:cstheme="majorHAnsi"/>
          <w:sz w:val="20"/>
          <w:szCs w:val="20"/>
        </w:rPr>
        <w:t>wellbeing</w:t>
      </w:r>
      <w:proofErr w:type="spellEnd"/>
      <w:r w:rsidRPr="006D1171">
        <w:rPr>
          <w:rFonts w:ascii="Century Gothic" w:hAnsi="Century Gothic" w:cstheme="majorHAnsi"/>
          <w:sz w:val="20"/>
          <w:szCs w:val="20"/>
        </w:rPr>
        <w:t xml:space="preserve"> (spokojenost se životem), a to na takové úrovni, pro kterou Světová zdravotnická organizace (WHO) doporučuje intervenci odborníka. To znamená, že cca každému čtvrtému žákovi 2. stupně ZŠ a SŠ by měla být poskytnuta odborná pomoc.</w:t>
      </w:r>
    </w:p>
    <w:p w14:paraId="4E4C9218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 xml:space="preserve">Dívky mají </w:t>
      </w:r>
      <w:proofErr w:type="spellStart"/>
      <w:r w:rsidRPr="006D1171">
        <w:rPr>
          <w:rFonts w:ascii="Century Gothic" w:hAnsi="Century Gothic" w:cstheme="majorHAnsi"/>
          <w:sz w:val="20"/>
          <w:szCs w:val="20"/>
        </w:rPr>
        <w:t>wellbeing</w:t>
      </w:r>
      <w:proofErr w:type="spellEnd"/>
      <w:r w:rsidRPr="006D1171">
        <w:rPr>
          <w:rFonts w:ascii="Century Gothic" w:hAnsi="Century Gothic" w:cstheme="majorHAnsi"/>
          <w:sz w:val="20"/>
          <w:szCs w:val="20"/>
        </w:rPr>
        <w:t xml:space="preserve"> výrazně horší než chlapci. </w:t>
      </w:r>
      <w:proofErr w:type="spellStart"/>
      <w:r w:rsidRPr="006D1171">
        <w:rPr>
          <w:rFonts w:ascii="Century Gothic" w:hAnsi="Century Gothic" w:cstheme="majorHAnsi"/>
          <w:sz w:val="20"/>
          <w:szCs w:val="20"/>
        </w:rPr>
        <w:t>Wellbeing</w:t>
      </w:r>
      <w:proofErr w:type="spellEnd"/>
      <w:r w:rsidRPr="006D1171">
        <w:rPr>
          <w:rFonts w:ascii="Century Gothic" w:hAnsi="Century Gothic" w:cstheme="majorHAnsi"/>
          <w:sz w:val="20"/>
          <w:szCs w:val="20"/>
        </w:rPr>
        <w:t xml:space="preserve"> žáků na gymnáziích je mírně horší než žáků na ostatních typech škol. O trošku horší </w:t>
      </w:r>
      <w:proofErr w:type="spellStart"/>
      <w:r w:rsidRPr="006D1171">
        <w:rPr>
          <w:rFonts w:ascii="Century Gothic" w:hAnsi="Century Gothic" w:cstheme="majorHAnsi"/>
          <w:sz w:val="20"/>
          <w:szCs w:val="20"/>
        </w:rPr>
        <w:t>wellbeing</w:t>
      </w:r>
      <w:proofErr w:type="spellEnd"/>
      <w:r w:rsidRPr="006D1171">
        <w:rPr>
          <w:rFonts w:ascii="Century Gothic" w:hAnsi="Century Gothic" w:cstheme="majorHAnsi"/>
          <w:sz w:val="20"/>
          <w:szCs w:val="20"/>
        </w:rPr>
        <w:t xml:space="preserve"> mají žáci ze severovýchodních ORP Ústeckého kraje (Děčín, Rumburk, Varnsdorf), regionální rozdíly jsou ovšem celkově spíše zanedbatelné.</w:t>
      </w:r>
    </w:p>
    <w:p w14:paraId="537CCE43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t>Úzkosti a deprese</w:t>
      </w:r>
    </w:p>
    <w:p w14:paraId="7601D154" w14:textId="056078C9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Třetina žáků vykazuje symptomy úzkosti, čtvrtina žáků symptomy deprese</w:t>
      </w:r>
      <w:r w:rsidR="00264D83" w:rsidRPr="006D1171">
        <w:rPr>
          <w:rFonts w:ascii="Century Gothic" w:hAnsi="Century Gothic" w:cstheme="majorHAnsi"/>
          <w:b/>
          <w:sz w:val="20"/>
          <w:szCs w:val="20"/>
        </w:rPr>
        <w:t>.</w:t>
      </w:r>
    </w:p>
    <w:p w14:paraId="6001F39D" w14:textId="203DFF3A" w:rsidR="005F2F8A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Třetina žáků (33 %) vykazuje symptomy úzkosti, resp. 16,5 % žáků známky těžké úzkosti a dalších 16,5 % známky střední úzkosti. Symptomy deprese nalezneme u čtvrtiny žáků, resp. 11,4 % dosahuje skóre odpovídající známkám těžké deprese a 11,5 % skóre středně těžké deprese. To neznamená, že takový počet žáků trpí klinicky potvrzenou depresí či úzkostí, jedná se pouze o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Pr="006D1171">
        <w:rPr>
          <w:rFonts w:ascii="Century Gothic" w:hAnsi="Century Gothic" w:cstheme="majorHAnsi"/>
          <w:sz w:val="20"/>
          <w:szCs w:val="20"/>
        </w:rPr>
        <w:t>screeningový dotazník indikující podezření.</w:t>
      </w:r>
      <w:r w:rsidR="005F2F8A" w:rsidRPr="006D1171">
        <w:rPr>
          <w:rFonts w:ascii="Century Gothic" w:hAnsi="Century Gothic" w:cstheme="majorHAnsi"/>
          <w:sz w:val="20"/>
          <w:szCs w:val="20"/>
        </w:rPr>
        <w:t xml:space="preserve"> </w:t>
      </w:r>
    </w:p>
    <w:p w14:paraId="2CF38148" w14:textId="68B0C1A6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 xml:space="preserve">Všichni tito žáci nicméně přesahují hodnoty, při kterých je doporučeno vyhledat specializovanou pomoc odborníka. Kapacity dětských psychiatrů a klinických psychologů tolik dětí </w:t>
      </w:r>
      <w:proofErr w:type="gramStart"/>
      <w:r w:rsidRPr="006D1171">
        <w:rPr>
          <w:rFonts w:ascii="Century Gothic" w:hAnsi="Century Gothic" w:cstheme="majorHAnsi"/>
          <w:sz w:val="20"/>
          <w:szCs w:val="20"/>
        </w:rPr>
        <w:t>nedokáží</w:t>
      </w:r>
      <w:proofErr w:type="gramEnd"/>
      <w:r w:rsidRPr="006D1171">
        <w:rPr>
          <w:rFonts w:ascii="Century Gothic" w:hAnsi="Century Gothic" w:cstheme="majorHAnsi"/>
          <w:sz w:val="20"/>
          <w:szCs w:val="20"/>
        </w:rPr>
        <w:t xml:space="preserve"> obsloužit, je proto nutné hledat jiná řešení, od celkového posílení prevence, přes poradenství ve školách až po jiné formy intervence poskytované ohroženým dětem a jejich rodinám.</w:t>
      </w:r>
    </w:p>
    <w:p w14:paraId="44D02F2A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lastRenderedPageBreak/>
        <w:t>Spánek</w:t>
      </w:r>
    </w:p>
    <w:p w14:paraId="01AE2BE3" w14:textId="6106665F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Více než polovina žáků má problémy se spánkem, řada žáků spí v týdnu jen 5-6 hodin</w:t>
      </w:r>
      <w:r w:rsidR="00264D83" w:rsidRPr="006D1171">
        <w:rPr>
          <w:rFonts w:ascii="Century Gothic" w:hAnsi="Century Gothic" w:cstheme="majorHAnsi"/>
          <w:b/>
          <w:sz w:val="20"/>
          <w:szCs w:val="20"/>
        </w:rPr>
        <w:t>.</w:t>
      </w:r>
    </w:p>
    <w:p w14:paraId="11D65DD6" w14:textId="77D45ED4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O tom, že kratší spánek, problémy se spánkem a jeho celková nižší kvalita má výraznou roli ve zhoršujícím se duševním zdraví dnešních žáků, se mezi odborníky diskutuje již řadu let. K této oblasti nám ale dosud chyběla pevná data. Realizovaný výzkum tato data poprvé přináší v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Pr="006D1171">
        <w:rPr>
          <w:rFonts w:ascii="Century Gothic" w:hAnsi="Century Gothic" w:cstheme="majorHAnsi"/>
          <w:sz w:val="20"/>
          <w:szCs w:val="20"/>
        </w:rPr>
        <w:t>souvislostech s dopady na duševní zdraví a rizikové chování dětí.</w:t>
      </w:r>
    </w:p>
    <w:p w14:paraId="67DAA153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Při použití specializovaného nástroje pro posouzení potíží se spánkem vychází, že více než polovina žáků nemá kvalitní spánek. Konkrétně 6,9 % žáků má příznaky těžké insomnie, dalších 22,1 % střední insomnie a 28,8 % žáků má symptomy mírné insomnie, což již není tak závažné, ale nemají zcela zdravý spánek (např. jim večer déle trvá, než usnou či se opakovaně probouzí v průběhu noci).</w:t>
      </w:r>
    </w:p>
    <w:p w14:paraId="4ACB8142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t>Sebepoškozování</w:t>
      </w:r>
    </w:p>
    <w:p w14:paraId="7C2AA2D4" w14:textId="4D9242EC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 xml:space="preserve">Třetina žákyň v kraji se za posledních 12 měsíců </w:t>
      </w:r>
      <w:proofErr w:type="spellStart"/>
      <w:r w:rsidRPr="006D1171">
        <w:rPr>
          <w:rFonts w:ascii="Century Gothic" w:hAnsi="Century Gothic" w:cstheme="majorHAnsi"/>
          <w:b/>
          <w:sz w:val="20"/>
          <w:szCs w:val="20"/>
        </w:rPr>
        <w:t>sebepoškodila</w:t>
      </w:r>
      <w:proofErr w:type="spellEnd"/>
      <w:r w:rsidRPr="006D1171">
        <w:rPr>
          <w:rFonts w:ascii="Century Gothic" w:hAnsi="Century Gothic" w:cstheme="majorHAnsi"/>
          <w:b/>
          <w:sz w:val="20"/>
          <w:szCs w:val="20"/>
        </w:rPr>
        <w:t>, nejčastěji propichováním nebo řezáním kůže</w:t>
      </w:r>
      <w:r w:rsidR="00264D83" w:rsidRPr="006D1171">
        <w:rPr>
          <w:rFonts w:ascii="Century Gothic" w:hAnsi="Century Gothic" w:cstheme="majorHAnsi"/>
          <w:b/>
          <w:sz w:val="20"/>
          <w:szCs w:val="20"/>
        </w:rPr>
        <w:t>.</w:t>
      </w:r>
    </w:p>
    <w:p w14:paraId="0AB5A7C3" w14:textId="0DB2ACBF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Velmi závažná zjištění přináší výzkum k problematice sebepoškozování žáků. Že se jedná o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Pr="006D1171">
        <w:rPr>
          <w:rFonts w:ascii="Century Gothic" w:hAnsi="Century Gothic" w:cstheme="majorHAnsi"/>
          <w:sz w:val="20"/>
          <w:szCs w:val="20"/>
        </w:rPr>
        <w:t>rozsáhlý problém, který je masově rozšířený, opakovaně potvrzují učitelé i psychologové, k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Pr="006D1171">
        <w:rPr>
          <w:rFonts w:ascii="Century Gothic" w:hAnsi="Century Gothic" w:cstheme="majorHAnsi"/>
          <w:sz w:val="20"/>
          <w:szCs w:val="20"/>
        </w:rPr>
        <w:t>problematice však chyběla podrobnější data, protože do psychiatrické či jiné lékařské péče se dostane pouze zlomek případů. Řada případů sebepoškozování u dětí zůstane neodhalena či neřešena.</w:t>
      </w:r>
    </w:p>
    <w:p w14:paraId="75F1AA58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 xml:space="preserve">Ptali jsme se, jestli mají žáci osobní zkušenost se sebepoškozováním v uplynulých 12 měsících. 21,5 % procent žáků přiznalo, že ano (sebepoškozování je před otázkami definováno mimo jiné tak, že se jedná o chování bez úmyslu si vzít život). Je možné, že se v některých případech jednalo pouze o jednorázovou zkušenost a žáci se dále </w:t>
      </w:r>
      <w:proofErr w:type="spellStart"/>
      <w:r w:rsidRPr="006D1171">
        <w:rPr>
          <w:rFonts w:ascii="Century Gothic" w:hAnsi="Century Gothic" w:cstheme="majorHAnsi"/>
          <w:sz w:val="20"/>
          <w:szCs w:val="20"/>
        </w:rPr>
        <w:t>nesebepoškozují</w:t>
      </w:r>
      <w:proofErr w:type="spellEnd"/>
      <w:r w:rsidRPr="006D1171">
        <w:rPr>
          <w:rFonts w:ascii="Century Gothic" w:hAnsi="Century Gothic" w:cstheme="majorHAnsi"/>
          <w:sz w:val="20"/>
          <w:szCs w:val="20"/>
        </w:rPr>
        <w:t>, i tak se ale jedná o alarmující číslo.</w:t>
      </w:r>
    </w:p>
    <w:p w14:paraId="5320EF3F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Sebepoškozování je, podle očekávání, rozšířenější u dívek. Zkušenost s ním reportuje třetina dívek (33,8 %) a desetina chlapců (9,7 %). Sebepoškozování je nejčastější mezi žáky v 8. a 9. ročnících školní docházky.</w:t>
      </w:r>
    </w:p>
    <w:p w14:paraId="2B970BB0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t>Myšlenky na sebevraždu</w:t>
      </w:r>
    </w:p>
    <w:p w14:paraId="5CA81E8D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Více než pětina žáků někdy pomýšlela na sebevraždu</w:t>
      </w:r>
    </w:p>
    <w:p w14:paraId="38A8E93B" w14:textId="410C030B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Stupňující se depresivní a úzkostné stavy, sebepoškozování, ale i šikana či kyberšikana v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Pr="006D1171">
        <w:rPr>
          <w:rFonts w:ascii="Century Gothic" w:hAnsi="Century Gothic" w:cstheme="majorHAnsi"/>
          <w:sz w:val="20"/>
          <w:szCs w:val="20"/>
        </w:rPr>
        <w:t>kolektivu mohou někdy žáky bohužel směřovat k názoru, že by bylo lepší, kdyby nebyli na světě. Podle psychiatrů se u dnešních dětí velmi posunul právě vztah k tělesné integritě a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proofErr w:type="spellStart"/>
      <w:r w:rsidRPr="006D1171">
        <w:rPr>
          <w:rFonts w:ascii="Century Gothic" w:hAnsi="Century Gothic" w:cstheme="majorHAnsi"/>
          <w:sz w:val="20"/>
          <w:szCs w:val="20"/>
        </w:rPr>
        <w:t>suicidalitě</w:t>
      </w:r>
      <w:proofErr w:type="spellEnd"/>
      <w:r w:rsidRPr="006D1171">
        <w:rPr>
          <w:rFonts w:ascii="Century Gothic" w:hAnsi="Century Gothic" w:cstheme="majorHAnsi"/>
          <w:sz w:val="20"/>
          <w:szCs w:val="20"/>
        </w:rPr>
        <w:t xml:space="preserve"> a nejen sebepoškozování, ale také zvažování ukončení života jsou mnohem častější než dřív.</w:t>
      </w:r>
    </w:p>
    <w:p w14:paraId="43084663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V našem výzkumu 22,6 % žáků uvedlo, že během posledních 12 měsíců někdy pomýšlelo na to, že si vezmou život. Častěji se opět jedná o dívky.</w:t>
      </w:r>
    </w:p>
    <w:p w14:paraId="2F812885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17,2 % žáků pak uvádí, že uvažovalo i nad konkrétními způsoby, jakým by případně spáchali sebevraždu. Výzkum nedokáže rozlišit závažnost úvah a vzhledem k tomu, že neexistují jiné české aktuální studie na toto téma, bereme zde zjištěné výsledky s rezervou, nicméně poukazují na velkou naléhavost dalšího studia suicidálního myšlení a chování dnešních žáků.</w:t>
      </w:r>
    </w:p>
    <w:p w14:paraId="513D2FFB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t>Poruchy příjmu potravy</w:t>
      </w:r>
    </w:p>
    <w:p w14:paraId="33668D9F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Čtvrtina žáků je ohrožena rizikem poruch příjmu potravy</w:t>
      </w:r>
    </w:p>
    <w:p w14:paraId="0053D3A6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Čtvrtina žáků v kraji (24,3 %) vykazuje symptomy rizik k rozvoji poruch příjmu potravy.</w:t>
      </w:r>
    </w:p>
    <w:p w14:paraId="2AEB3457" w14:textId="77777777" w:rsidR="003526DD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Nejčastěji se poruchy příjmu potravy vyskytují u žáků v 8. a 9. ročnících. Dívky jsou 4x ohroženější než chlapci (38,4 % dívek a 10,8 % chlapců vykazuje symptomy rizik k rozvoji poruch příjmu potravy).</w:t>
      </w:r>
    </w:p>
    <w:p w14:paraId="7264AC2A" w14:textId="77777777" w:rsidR="006067B5" w:rsidRPr="006D1171" w:rsidRDefault="006067B5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</w:p>
    <w:p w14:paraId="6A7BD7B1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lastRenderedPageBreak/>
        <w:t>Technologické závislosti</w:t>
      </w:r>
    </w:p>
    <w:p w14:paraId="2C0E973D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Polovina žáků kvůli on-line aktivitám „šidí“ svůj spánek a stravování</w:t>
      </w:r>
    </w:p>
    <w:p w14:paraId="46CCD541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Čtvrtina dětí (24,1 %) se přiznává, že často omezují svůj spánek nebo vynechávají jídlo kvůli on-line aktivitám, dalších 24,3 % přiznává, že to udělají občas. Nejčastěji k tomu dochází kvůli trávení času na sociálních sítích a sledování videí. 22,8 % žáků přiznává problémy kvůli nadměrnému hraní počítačových her, což se týká zejména chlapců.</w:t>
      </w:r>
    </w:p>
    <w:p w14:paraId="3B1DED24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55,8 % žáků se někdy rozčílí, když nemohou být na internetu, což je jeden z ukazatelů nezdravého vztahu k technologiím, který může přerůst až do nezvladatelného závislostního chování.</w:t>
      </w:r>
    </w:p>
    <w:p w14:paraId="77CDCE75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t>Látkové závislosti</w:t>
      </w:r>
    </w:p>
    <w:p w14:paraId="2D766740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Pití energetických nápojů je rozšířené i na základních školách, alkohol až mezi středoškoláky</w:t>
      </w:r>
    </w:p>
    <w:p w14:paraId="3263C8C2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 xml:space="preserve">Ze sledovaných rizikových látek jsou těmi nejčastěji užívanými energetické nápoje a alkohol. Zkušenosti s alkoholem strmě rostou s vyšším věkem žáků, v 6. ročnících pijí alkohol opakovaně jednotky procent žáků, ve 3. ročnících SŠ alkohol opakovaně konzumují více než dvě třetiny žáků. Energetické nápoje konzumují i žáci nižších ročníků, i když častěji opět spíše ti starší. S užitím marihuany má zkušenost 24,1 % žáků, s nikotinovými sáčky 19,7 % žáků a s </w:t>
      </w:r>
      <w:proofErr w:type="spellStart"/>
      <w:r w:rsidRPr="006D1171">
        <w:rPr>
          <w:rFonts w:ascii="Century Gothic" w:hAnsi="Century Gothic" w:cstheme="majorHAnsi"/>
          <w:sz w:val="20"/>
          <w:szCs w:val="20"/>
        </w:rPr>
        <w:t>kratomem</w:t>
      </w:r>
      <w:proofErr w:type="spellEnd"/>
      <w:r w:rsidRPr="006D1171">
        <w:rPr>
          <w:rFonts w:ascii="Century Gothic" w:hAnsi="Century Gothic" w:cstheme="majorHAnsi"/>
          <w:sz w:val="20"/>
          <w:szCs w:val="20"/>
        </w:rPr>
        <w:t xml:space="preserve"> 8,9 % žáků. Nejčastější formou užívání tabáku či nikotinu jsou elektronické cigarety, jejich pravidelné užívání přiznává 26,3 % žáků.</w:t>
      </w:r>
    </w:p>
    <w:p w14:paraId="24EB9E25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t>Vztahy a šikana</w:t>
      </w:r>
    </w:p>
    <w:p w14:paraId="7E1EABBB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Žáci se ve škole setkávají s urážkami a ponižováním od spolužáků, ale i učitelů</w:t>
      </w:r>
    </w:p>
    <w:p w14:paraId="79AF3145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64,5 % žáků se stala alespoň jednou obětí slovního napadení, 12,9 % žáků uvádí, že jsou obětí slovního napadání téměř denně. Obětí fyzického ubližování bylo 22,6 % žáků, 2,6 % pak téměř denně.</w:t>
      </w:r>
    </w:p>
    <w:p w14:paraId="51022C83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Když se žáků zeptáme obecněji, jestli se s daným typem ubližování setkali ve své třídě (bez ohledu na to, jestli byli obětí oni nebo někdo jiný), 71 % žáků uvedlo, že byli alespoň jednou svědkem slovního ubližování.</w:t>
      </w:r>
    </w:p>
    <w:p w14:paraId="5B726E96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21 % žáků se v uplynulém roce alespoň jednou setkalo s násilím v rodině, 7,7 % z nich dokonce opakovaně až pravidelně.</w:t>
      </w:r>
    </w:p>
    <w:p w14:paraId="500957E4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Alarmující ale také je, že téměř polovina (45 %) žáků se alespoň jednou cítila ponížena či zesměšněna učitelem, 14,3 % z nich dokonce opakovaně až pravidelně.</w:t>
      </w:r>
    </w:p>
    <w:p w14:paraId="1F3488D3" w14:textId="77777777" w:rsidR="003526DD" w:rsidRPr="006D1171" w:rsidRDefault="003526DD" w:rsidP="006D1171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Century Gothic" w:hAnsi="Century Gothic" w:cstheme="majorHAnsi"/>
          <w:b/>
          <w:bCs/>
          <w:sz w:val="20"/>
          <w:szCs w:val="20"/>
        </w:rPr>
      </w:pPr>
      <w:r w:rsidRPr="006D1171">
        <w:rPr>
          <w:rFonts w:ascii="Century Gothic" w:hAnsi="Century Gothic" w:cstheme="majorHAnsi"/>
          <w:b/>
          <w:bCs/>
          <w:sz w:val="20"/>
          <w:szCs w:val="20"/>
        </w:rPr>
        <w:t>Rizika kyberprostoru</w:t>
      </w:r>
    </w:p>
    <w:p w14:paraId="3D71CBF6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b/>
          <w:sz w:val="20"/>
          <w:szCs w:val="20"/>
        </w:rPr>
      </w:pPr>
      <w:r w:rsidRPr="006D1171">
        <w:rPr>
          <w:rFonts w:ascii="Century Gothic" w:hAnsi="Century Gothic" w:cstheme="majorHAnsi"/>
          <w:b/>
          <w:sz w:val="20"/>
          <w:szCs w:val="20"/>
        </w:rPr>
        <w:t>Polovina žáků se setkala s kyberšikanou, třetina s nevyžádanými erotickými návrhy</w:t>
      </w:r>
    </w:p>
    <w:p w14:paraId="51AA76E1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S nadávkami nebo pomluvou na svou osobu se na internetu v uplynulém roce setkala alespoň jednou téměř polovina žáků (49,6 %), pětina (19,5 %) opakovaně až pravidelně.</w:t>
      </w:r>
    </w:p>
    <w:p w14:paraId="139F7FC4" w14:textId="77777777" w:rsidR="003526DD" w:rsidRPr="006D1171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37,5 % žáků bylo v uplynulém roce kontaktováno cizí osobou s nevyžádanou erotickou nabídkou, 14,4 % z nich dokonce opakovaně. Útoky tohoto typu cílí daleko častěji na dospívající dívky, téměř polovina žákyň byla v uplynulém roce alespoň jednou na internetu kontaktována cizí osobou s erotickou nabídkou, 19,4 % z nich opakovaně. Chlapců bylo kontaktováno 26,6 %.</w:t>
      </w:r>
    </w:p>
    <w:p w14:paraId="68F53680" w14:textId="41893D17" w:rsidR="003526DD" w:rsidRDefault="003526DD" w:rsidP="006D1171">
      <w:pPr>
        <w:spacing w:after="120" w:line="240" w:lineRule="auto"/>
        <w:jc w:val="both"/>
        <w:rPr>
          <w:rFonts w:ascii="Century Gothic" w:hAnsi="Century Gothic" w:cstheme="majorHAnsi"/>
          <w:sz w:val="20"/>
          <w:szCs w:val="20"/>
        </w:rPr>
      </w:pPr>
      <w:r w:rsidRPr="006D1171">
        <w:rPr>
          <w:rFonts w:ascii="Century Gothic" w:hAnsi="Century Gothic" w:cstheme="majorHAnsi"/>
          <w:sz w:val="20"/>
          <w:szCs w:val="20"/>
        </w:rPr>
        <w:t>10,9 % žáků poslalo za uplynulý rok někomu svoje intimní fotky nebo videa, častěji se jedná o</w:t>
      </w:r>
      <w:r w:rsidR="002C2D2A">
        <w:rPr>
          <w:rFonts w:ascii="Century Gothic" w:hAnsi="Century Gothic" w:cstheme="majorHAnsi"/>
          <w:sz w:val="20"/>
          <w:szCs w:val="20"/>
        </w:rPr>
        <w:t> </w:t>
      </w:r>
      <w:r w:rsidRPr="006D1171">
        <w:rPr>
          <w:rFonts w:ascii="Century Gothic" w:hAnsi="Century Gothic" w:cstheme="majorHAnsi"/>
          <w:sz w:val="20"/>
          <w:szCs w:val="20"/>
        </w:rPr>
        <w:t>dívky (14,1 %) nežli o chlapce (7,8 %). I když se mohlo ve většině případů jednat o dobrovolné poskytnutí, odborníci před podobným chováním vždy varují.</w:t>
      </w:r>
    </w:p>
    <w:p w14:paraId="0310CA96" w14:textId="77777777" w:rsidR="00844DAB" w:rsidRDefault="00844DAB" w:rsidP="001C788F">
      <w:pPr>
        <w:spacing w:after="150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cs-CZ"/>
        </w:rPr>
      </w:pPr>
    </w:p>
    <w:p w14:paraId="7667A5DF" w14:textId="77777777" w:rsidR="006067B5" w:rsidRDefault="006067B5" w:rsidP="001C788F">
      <w:pPr>
        <w:spacing w:after="150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cs-CZ"/>
        </w:rPr>
      </w:pPr>
    </w:p>
    <w:p w14:paraId="72792497" w14:textId="77777777" w:rsidR="006067B5" w:rsidRDefault="006067B5" w:rsidP="001C788F">
      <w:pPr>
        <w:spacing w:after="150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cs-CZ"/>
        </w:rPr>
      </w:pPr>
    </w:p>
    <w:p w14:paraId="6E417607" w14:textId="77777777" w:rsidR="006067B5" w:rsidRDefault="006067B5" w:rsidP="001C788F">
      <w:pPr>
        <w:spacing w:after="150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cs-CZ"/>
        </w:rPr>
      </w:pPr>
    </w:p>
    <w:p w14:paraId="7CD20575" w14:textId="613D2DBE" w:rsidR="003526DD" w:rsidRPr="001C788F" w:rsidRDefault="001C788F" w:rsidP="001C788F">
      <w:pPr>
        <w:spacing w:after="150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cs-CZ"/>
        </w:rPr>
      </w:pPr>
      <w:r w:rsidRPr="001C788F">
        <w:rPr>
          <w:rFonts w:ascii="Century Gothic" w:eastAsia="Times New Roman" w:hAnsi="Century Gothic" w:cs="Times New Roman"/>
          <w:b/>
          <w:bCs/>
          <w:sz w:val="24"/>
          <w:szCs w:val="24"/>
          <w:lang w:eastAsia="cs-CZ"/>
        </w:rPr>
        <w:t>Přijatá opatření</w:t>
      </w:r>
    </w:p>
    <w:p w14:paraId="1B0FA2B4" w14:textId="1B993474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b/>
          <w:bCs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Dotační program Prevence rizikového chování</w:t>
      </w:r>
      <w:r w:rsidRPr="006D1171">
        <w:rPr>
          <w:rFonts w:ascii="Century Gothic" w:hAnsi="Century Gothic"/>
          <w:sz w:val="20"/>
          <w:szCs w:val="20"/>
        </w:rPr>
        <w:t xml:space="preserve"> (zvýšení kompetencí pedagogických pracovníků a větší porozumění problematice duševního zdraví, programy pro žáky v oblasti duševního zdraví, preventivní pobyty pro žáky) – navýšení ze 2 na 7 mil, Výzva Prevence pro krajské školy – navýšení z 1,5 na 3 mil.</w:t>
      </w:r>
      <w:r w:rsidR="00231F50" w:rsidRPr="006D1171">
        <w:rPr>
          <w:rFonts w:ascii="Century Gothic" w:hAnsi="Century Gothic"/>
          <w:sz w:val="20"/>
          <w:szCs w:val="20"/>
        </w:rPr>
        <w:t xml:space="preserve"> Celkem jde pro rok 2024 do prevence </w:t>
      </w:r>
      <w:r w:rsidR="00231F50" w:rsidRPr="006D1171">
        <w:rPr>
          <w:rFonts w:ascii="Century Gothic" w:hAnsi="Century Gothic"/>
          <w:b/>
          <w:bCs/>
          <w:sz w:val="20"/>
          <w:szCs w:val="20"/>
        </w:rPr>
        <w:t>10 mil Kč.</w:t>
      </w:r>
    </w:p>
    <w:p w14:paraId="41E18DD6" w14:textId="77777777" w:rsidR="004E4AF6" w:rsidRPr="006D1171" w:rsidRDefault="004E4AF6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050B184C" w14:textId="4362E70F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Rozvoj kompetencí pracovníků ve školství</w:t>
      </w:r>
      <w:r w:rsidRPr="006D1171">
        <w:rPr>
          <w:rFonts w:ascii="Century Gothic" w:hAnsi="Century Gothic"/>
          <w:sz w:val="20"/>
          <w:szCs w:val="20"/>
        </w:rPr>
        <w:t xml:space="preserve"> v oblasti prevence rizikového chování a podpory dětského duševního zdraví prostřednictvím dalšího vzdělávání pedagogických pracovníků a návazného metodického vedení (témata: </w:t>
      </w:r>
      <w:proofErr w:type="spellStart"/>
      <w:r w:rsidRPr="006D1171">
        <w:rPr>
          <w:rFonts w:ascii="Century Gothic" w:hAnsi="Century Gothic"/>
          <w:sz w:val="20"/>
          <w:szCs w:val="20"/>
        </w:rPr>
        <w:t>traumarespektující</w:t>
      </w:r>
      <w:proofErr w:type="spellEnd"/>
      <w:r w:rsidRPr="006D1171">
        <w:rPr>
          <w:rFonts w:ascii="Century Gothic" w:hAnsi="Century Gothic"/>
          <w:sz w:val="20"/>
          <w:szCs w:val="20"/>
        </w:rPr>
        <w:t xml:space="preserve"> přístup, socio-emoční dovednosti, </w:t>
      </w:r>
      <w:proofErr w:type="spellStart"/>
      <w:r w:rsidRPr="006D1171">
        <w:rPr>
          <w:rFonts w:ascii="Century Gothic" w:hAnsi="Century Gothic"/>
          <w:sz w:val="20"/>
          <w:szCs w:val="20"/>
        </w:rPr>
        <w:t>wellbeing</w:t>
      </w:r>
      <w:proofErr w:type="spellEnd"/>
      <w:r w:rsidRPr="006D1171">
        <w:rPr>
          <w:rFonts w:ascii="Century Gothic" w:hAnsi="Century Gothic"/>
          <w:sz w:val="20"/>
          <w:szCs w:val="20"/>
        </w:rPr>
        <w:t>)</w:t>
      </w:r>
      <w:r w:rsidR="00231F50" w:rsidRPr="006D1171">
        <w:rPr>
          <w:rFonts w:ascii="Century Gothic" w:hAnsi="Century Gothic"/>
          <w:sz w:val="20"/>
          <w:szCs w:val="20"/>
        </w:rPr>
        <w:t xml:space="preserve"> </w:t>
      </w:r>
    </w:p>
    <w:p w14:paraId="15AFCF03" w14:textId="77777777" w:rsidR="004E4AF6" w:rsidRPr="006D1171" w:rsidRDefault="004E4AF6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14A570CC" w14:textId="5DB90CBE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Vytvoření funkční pracovní multioborové skupiny</w:t>
      </w:r>
      <w:r w:rsidRPr="006D1171">
        <w:rPr>
          <w:rFonts w:ascii="Century Gothic" w:hAnsi="Century Gothic"/>
          <w:sz w:val="20"/>
          <w:szCs w:val="20"/>
        </w:rPr>
        <w:t xml:space="preserve"> – Krajské platformy primární prevence</w:t>
      </w:r>
    </w:p>
    <w:p w14:paraId="29E4F942" w14:textId="77777777" w:rsidR="004E4AF6" w:rsidRPr="006D1171" w:rsidRDefault="004E4AF6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503B26D4" w14:textId="00A7585F" w:rsidR="004E4AF6" w:rsidRPr="006D1171" w:rsidRDefault="00231F50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Předpokládaný v</w:t>
      </w:r>
      <w:r w:rsidR="004E4AF6" w:rsidRPr="006D1171">
        <w:rPr>
          <w:rFonts w:ascii="Century Gothic" w:hAnsi="Century Gothic"/>
          <w:b/>
          <w:bCs/>
          <w:sz w:val="20"/>
          <w:szCs w:val="20"/>
        </w:rPr>
        <w:t>znik multidisciplinárních týmů</w:t>
      </w:r>
      <w:r w:rsidR="004E4AF6" w:rsidRPr="006D1171">
        <w:rPr>
          <w:rFonts w:ascii="Century Gothic" w:hAnsi="Century Gothic"/>
          <w:sz w:val="20"/>
          <w:szCs w:val="20"/>
        </w:rPr>
        <w:t xml:space="preserve"> dětského duševního zdraví</w:t>
      </w:r>
      <w:r w:rsidRPr="006D1171">
        <w:rPr>
          <w:rFonts w:ascii="Century Gothic" w:hAnsi="Century Gothic"/>
          <w:sz w:val="20"/>
          <w:szCs w:val="20"/>
        </w:rPr>
        <w:t xml:space="preserve"> v rámci IDZ</w:t>
      </w:r>
    </w:p>
    <w:p w14:paraId="084D624B" w14:textId="77777777" w:rsidR="004E4AF6" w:rsidRPr="006D1171" w:rsidRDefault="004E4AF6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1BC09178" w14:textId="5DC73F70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Aktivity v krajském projektu</w:t>
      </w:r>
      <w:r w:rsidRPr="006D1171">
        <w:rPr>
          <w:rFonts w:ascii="Century Gothic" w:hAnsi="Century Gothic"/>
          <w:sz w:val="20"/>
          <w:szCs w:val="20"/>
        </w:rPr>
        <w:t xml:space="preserve"> ve Výzvě MŠMT pro podávání žádostí o poskytnutí neinvestiční dotace ze státního rozpočtu na aktivity v oblasti primární prevence rizikového chování a podpory duševního zdraví ve školách – podpora celých sboroven prostřednictvím vzdělávání v oblasti vedení třídnických hodin, práce s dynamikou třídy, socio-emočního učení, supervize, vzdělávání pro ředitele škol v oblasti klimatu školy, konference duševního zdraví, vznik a podpora krizových intervenčních týmů, vzdělávání v oblasti duševního zdraví, supervizní podpora školních poradenských pracovišť</w:t>
      </w:r>
    </w:p>
    <w:p w14:paraId="4599613D" w14:textId="77777777" w:rsidR="004E4AF6" w:rsidRPr="006D1171" w:rsidRDefault="004E4AF6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2081B5F2" w14:textId="1276CC2C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 xml:space="preserve">Navýšení úvazků </w:t>
      </w:r>
      <w:r w:rsidR="00D95843" w:rsidRPr="006D1171">
        <w:rPr>
          <w:rFonts w:ascii="Century Gothic" w:hAnsi="Century Gothic"/>
          <w:b/>
          <w:bCs/>
          <w:sz w:val="20"/>
          <w:szCs w:val="20"/>
        </w:rPr>
        <w:t xml:space="preserve">oblastních </w:t>
      </w:r>
      <w:r w:rsidRPr="006D1171">
        <w:rPr>
          <w:rFonts w:ascii="Century Gothic" w:hAnsi="Century Gothic"/>
          <w:b/>
          <w:bCs/>
          <w:sz w:val="20"/>
          <w:szCs w:val="20"/>
        </w:rPr>
        <w:t>metodiků prevence</w:t>
      </w:r>
      <w:r w:rsidRPr="006D1171">
        <w:rPr>
          <w:rFonts w:ascii="Century Gothic" w:hAnsi="Century Gothic"/>
          <w:sz w:val="20"/>
          <w:szCs w:val="20"/>
        </w:rPr>
        <w:t xml:space="preserve"> Pedagogicko-psychologické poradny Ústeckého kraje a Zařízení pro další vzdělávání pedagogických pracovníků, Teplice, p. o.</w:t>
      </w:r>
      <w:r w:rsidR="00231F50" w:rsidRPr="006D1171">
        <w:rPr>
          <w:rFonts w:ascii="Century Gothic" w:hAnsi="Century Gothic"/>
          <w:sz w:val="20"/>
          <w:szCs w:val="20"/>
        </w:rPr>
        <w:t xml:space="preserve"> od září 2024</w:t>
      </w:r>
    </w:p>
    <w:p w14:paraId="2B2DC3EE" w14:textId="77777777" w:rsidR="004E4AF6" w:rsidRPr="006D1171" w:rsidRDefault="004E4AF6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15C25216" w14:textId="0F3251E3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b/>
          <w:bCs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Navýšení úvazku krajské školské koordinátor</w:t>
      </w:r>
      <w:r w:rsidR="00231F50" w:rsidRPr="006D1171">
        <w:rPr>
          <w:rFonts w:ascii="Century Gothic" w:hAnsi="Century Gothic"/>
          <w:b/>
          <w:bCs/>
          <w:sz w:val="20"/>
          <w:szCs w:val="20"/>
        </w:rPr>
        <w:t>ky</w:t>
      </w:r>
      <w:r w:rsidRPr="006D1171">
        <w:rPr>
          <w:rFonts w:ascii="Century Gothic" w:hAnsi="Century Gothic"/>
          <w:b/>
          <w:bCs/>
          <w:sz w:val="20"/>
          <w:szCs w:val="20"/>
        </w:rPr>
        <w:t xml:space="preserve"> prevence</w:t>
      </w:r>
    </w:p>
    <w:p w14:paraId="5AD3DA8D" w14:textId="77777777" w:rsidR="004E4AF6" w:rsidRPr="006D1171" w:rsidRDefault="004E4AF6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0C7434C8" w14:textId="2890B777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b/>
          <w:bCs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Vznik nového střediska výchovné péče</w:t>
      </w:r>
    </w:p>
    <w:p w14:paraId="2B324232" w14:textId="77777777" w:rsidR="00231F50" w:rsidRPr="006D1171" w:rsidRDefault="00231F50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2F95592D" w14:textId="12A05038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Podpora spolupráce s Univerzitou Jana Evangelisty Purkyně</w:t>
      </w:r>
      <w:r w:rsidRPr="006D1171">
        <w:rPr>
          <w:rFonts w:ascii="Century Gothic" w:hAnsi="Century Gothic"/>
          <w:sz w:val="20"/>
          <w:szCs w:val="20"/>
        </w:rPr>
        <w:t xml:space="preserve"> – akreditace bakalářského studijního programu školní psychologie, kurzy pedagogické a školní psychologie pro pedagogické pracovníky</w:t>
      </w:r>
    </w:p>
    <w:p w14:paraId="0F8AE1CD" w14:textId="77777777" w:rsidR="004E4AF6" w:rsidRPr="006D1171" w:rsidRDefault="004E4AF6" w:rsidP="006D1171">
      <w:pPr>
        <w:pStyle w:val="Prosttext"/>
        <w:jc w:val="both"/>
        <w:rPr>
          <w:rFonts w:ascii="Century Gothic" w:hAnsi="Century Gothic"/>
          <w:sz w:val="20"/>
          <w:szCs w:val="20"/>
        </w:rPr>
      </w:pPr>
    </w:p>
    <w:p w14:paraId="5E052FC4" w14:textId="60AACA6B" w:rsidR="004E4AF6" w:rsidRPr="006D1171" w:rsidRDefault="004E4AF6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b/>
          <w:bCs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Zřízení relaxačních koutů pro pedagogy</w:t>
      </w:r>
      <w:r w:rsidR="00231F50" w:rsidRPr="006D1171">
        <w:rPr>
          <w:rFonts w:ascii="Century Gothic" w:hAnsi="Century Gothic"/>
          <w:b/>
          <w:bCs/>
          <w:sz w:val="20"/>
          <w:szCs w:val="20"/>
        </w:rPr>
        <w:t xml:space="preserve"> na SŠ</w:t>
      </w:r>
    </w:p>
    <w:p w14:paraId="6ACA6B38" w14:textId="77777777" w:rsidR="009A0643" w:rsidRPr="006D1171" w:rsidRDefault="009A0643" w:rsidP="006D1171">
      <w:pPr>
        <w:spacing w:after="15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cs-CZ"/>
        </w:rPr>
      </w:pPr>
    </w:p>
    <w:p w14:paraId="311110BD" w14:textId="09325F2F" w:rsidR="004E4AF6" w:rsidRPr="006D1171" w:rsidRDefault="00231F50" w:rsidP="006D1171">
      <w:pPr>
        <w:pStyle w:val="Prosttex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6D1171">
        <w:rPr>
          <w:rFonts w:ascii="Century Gothic" w:hAnsi="Century Gothic"/>
          <w:b/>
          <w:bCs/>
          <w:sz w:val="20"/>
          <w:szCs w:val="20"/>
        </w:rPr>
        <w:t>Mimoškolní preventivní pobyty</w:t>
      </w:r>
      <w:r w:rsidR="00D95843" w:rsidRPr="006D117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95843" w:rsidRPr="006D1171">
        <w:rPr>
          <w:rFonts w:ascii="Century Gothic" w:hAnsi="Century Gothic"/>
          <w:sz w:val="20"/>
          <w:szCs w:val="20"/>
        </w:rPr>
        <w:t>–</w:t>
      </w:r>
      <w:r w:rsidR="00D95843" w:rsidRPr="006D117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95843" w:rsidRPr="006D1171">
        <w:rPr>
          <w:rFonts w:ascii="Century Gothic" w:hAnsi="Century Gothic"/>
          <w:sz w:val="20"/>
          <w:szCs w:val="20"/>
        </w:rPr>
        <w:t>financované z operačních programů</w:t>
      </w:r>
    </w:p>
    <w:p w14:paraId="1EC2DF3B" w14:textId="77777777" w:rsidR="00804B68" w:rsidRPr="006D1171" w:rsidRDefault="00804B68" w:rsidP="006D1171">
      <w:pPr>
        <w:pStyle w:val="Odstavecseseznamem"/>
        <w:jc w:val="both"/>
        <w:rPr>
          <w:rFonts w:ascii="Century Gothic" w:hAnsi="Century Gothic"/>
          <w:sz w:val="20"/>
          <w:szCs w:val="20"/>
        </w:rPr>
      </w:pPr>
    </w:p>
    <w:sectPr w:rsidR="00804B68" w:rsidRPr="006D11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568D" w14:textId="77777777" w:rsidR="00CB22EB" w:rsidRDefault="00CB22EB" w:rsidP="001C788F">
      <w:pPr>
        <w:spacing w:after="0" w:line="240" w:lineRule="auto"/>
      </w:pPr>
      <w:r>
        <w:separator/>
      </w:r>
    </w:p>
  </w:endnote>
  <w:endnote w:type="continuationSeparator" w:id="0">
    <w:p w14:paraId="298881CF" w14:textId="77777777" w:rsidR="00CB22EB" w:rsidRDefault="00CB22EB" w:rsidP="001C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50E5" w14:textId="77777777" w:rsidR="00CB22EB" w:rsidRDefault="00CB22EB" w:rsidP="001C788F">
      <w:pPr>
        <w:spacing w:after="0" w:line="240" w:lineRule="auto"/>
      </w:pPr>
      <w:r>
        <w:separator/>
      </w:r>
    </w:p>
  </w:footnote>
  <w:footnote w:type="continuationSeparator" w:id="0">
    <w:p w14:paraId="5EE3CFC5" w14:textId="77777777" w:rsidR="00CB22EB" w:rsidRDefault="00CB22EB" w:rsidP="001C7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980B" w14:textId="5D68662C" w:rsidR="001C788F" w:rsidRDefault="001C788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48466" wp14:editId="58F7EB6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93545" cy="367665"/>
          <wp:effectExtent l="0" t="0" r="1905" b="0"/>
          <wp:wrapNone/>
          <wp:docPr id="2039245629" name="Obrázek 2039245629" descr="Obsah obrázku Písmo, Grafika, text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734100" name="Obrázek 1" descr="Obsah obrázku Písmo, Grafika, text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92B"/>
    <w:multiLevelType w:val="hybridMultilevel"/>
    <w:tmpl w:val="B3BEF6B0"/>
    <w:lvl w:ilvl="0" w:tplc="A3C0A7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66D"/>
    <w:multiLevelType w:val="hybridMultilevel"/>
    <w:tmpl w:val="28F6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BB8"/>
    <w:multiLevelType w:val="hybridMultilevel"/>
    <w:tmpl w:val="D8A4B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2143"/>
    <w:multiLevelType w:val="hybridMultilevel"/>
    <w:tmpl w:val="CF104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572A"/>
    <w:multiLevelType w:val="hybridMultilevel"/>
    <w:tmpl w:val="0C7A0494"/>
    <w:lvl w:ilvl="0" w:tplc="A3C0A7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33B10"/>
    <w:multiLevelType w:val="hybridMultilevel"/>
    <w:tmpl w:val="2A5A3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0B60"/>
    <w:multiLevelType w:val="hybridMultilevel"/>
    <w:tmpl w:val="44AA96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921361"/>
    <w:multiLevelType w:val="hybridMultilevel"/>
    <w:tmpl w:val="2DD83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02EA"/>
    <w:multiLevelType w:val="hybridMultilevel"/>
    <w:tmpl w:val="DBF865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C01F17"/>
    <w:multiLevelType w:val="hybridMultilevel"/>
    <w:tmpl w:val="1FA68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51743"/>
    <w:multiLevelType w:val="hybridMultilevel"/>
    <w:tmpl w:val="41140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2B72E0"/>
    <w:multiLevelType w:val="hybridMultilevel"/>
    <w:tmpl w:val="D44C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85893"/>
    <w:multiLevelType w:val="hybridMultilevel"/>
    <w:tmpl w:val="826AA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9543B"/>
    <w:multiLevelType w:val="hybridMultilevel"/>
    <w:tmpl w:val="C5443D42"/>
    <w:lvl w:ilvl="0" w:tplc="1778AA0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D1B2D"/>
    <w:multiLevelType w:val="hybridMultilevel"/>
    <w:tmpl w:val="11F2EFF6"/>
    <w:lvl w:ilvl="0" w:tplc="3FA02F2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785B5D"/>
    <w:multiLevelType w:val="hybridMultilevel"/>
    <w:tmpl w:val="6C183C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014817"/>
    <w:multiLevelType w:val="hybridMultilevel"/>
    <w:tmpl w:val="929AA2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0803B8"/>
    <w:multiLevelType w:val="hybridMultilevel"/>
    <w:tmpl w:val="A6E63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484172">
    <w:abstractNumId w:val="5"/>
  </w:num>
  <w:num w:numId="2" w16cid:durableId="125198984">
    <w:abstractNumId w:val="10"/>
  </w:num>
  <w:num w:numId="3" w16cid:durableId="1279025267">
    <w:abstractNumId w:val="14"/>
  </w:num>
  <w:num w:numId="4" w16cid:durableId="1747268282">
    <w:abstractNumId w:val="0"/>
  </w:num>
  <w:num w:numId="5" w16cid:durableId="1887139114">
    <w:abstractNumId w:val="7"/>
  </w:num>
  <w:num w:numId="6" w16cid:durableId="1575237088">
    <w:abstractNumId w:val="4"/>
  </w:num>
  <w:num w:numId="7" w16cid:durableId="1680156301">
    <w:abstractNumId w:val="6"/>
  </w:num>
  <w:num w:numId="8" w16cid:durableId="2105489481">
    <w:abstractNumId w:val="2"/>
  </w:num>
  <w:num w:numId="9" w16cid:durableId="617487584">
    <w:abstractNumId w:val="15"/>
  </w:num>
  <w:num w:numId="10" w16cid:durableId="1716466379">
    <w:abstractNumId w:val="12"/>
  </w:num>
  <w:num w:numId="11" w16cid:durableId="1806268468">
    <w:abstractNumId w:val="13"/>
  </w:num>
  <w:num w:numId="12" w16cid:durableId="1074281365">
    <w:abstractNumId w:val="9"/>
  </w:num>
  <w:num w:numId="13" w16cid:durableId="1889534154">
    <w:abstractNumId w:val="3"/>
  </w:num>
  <w:num w:numId="14" w16cid:durableId="858154006">
    <w:abstractNumId w:val="17"/>
  </w:num>
  <w:num w:numId="15" w16cid:durableId="1633516408">
    <w:abstractNumId w:val="16"/>
  </w:num>
  <w:num w:numId="16" w16cid:durableId="1243640472">
    <w:abstractNumId w:val="1"/>
  </w:num>
  <w:num w:numId="17" w16cid:durableId="1372268037">
    <w:abstractNumId w:val="8"/>
  </w:num>
  <w:num w:numId="18" w16cid:durableId="561019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43"/>
    <w:rsid w:val="00131B6D"/>
    <w:rsid w:val="001C788F"/>
    <w:rsid w:val="00231F50"/>
    <w:rsid w:val="0025573F"/>
    <w:rsid w:val="00264D83"/>
    <w:rsid w:val="002C2D2A"/>
    <w:rsid w:val="002E6DB4"/>
    <w:rsid w:val="003526DD"/>
    <w:rsid w:val="003A2E78"/>
    <w:rsid w:val="00406DCB"/>
    <w:rsid w:val="00435C9D"/>
    <w:rsid w:val="004E4AF6"/>
    <w:rsid w:val="00581D69"/>
    <w:rsid w:val="005F2F8A"/>
    <w:rsid w:val="006067B5"/>
    <w:rsid w:val="0065149E"/>
    <w:rsid w:val="006D1171"/>
    <w:rsid w:val="00804B68"/>
    <w:rsid w:val="00844DAB"/>
    <w:rsid w:val="009A0643"/>
    <w:rsid w:val="00B35312"/>
    <w:rsid w:val="00B97DBF"/>
    <w:rsid w:val="00C80DF7"/>
    <w:rsid w:val="00CB0374"/>
    <w:rsid w:val="00CB22EB"/>
    <w:rsid w:val="00D95843"/>
    <w:rsid w:val="00DF363A"/>
    <w:rsid w:val="00E170F3"/>
    <w:rsid w:val="00F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F364"/>
  <w15:chartTrackingRefBased/>
  <w15:docId w15:val="{34505921-52D6-4DF4-8A06-11BF6734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A0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6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A064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A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0643"/>
    <w:rPr>
      <w:b/>
      <w:bCs/>
    </w:rPr>
  </w:style>
  <w:style w:type="character" w:styleId="Zdraznn">
    <w:name w:val="Emphasis"/>
    <w:basedOn w:val="Standardnpsmoodstavce"/>
    <w:uiPriority w:val="20"/>
    <w:qFormat/>
    <w:rsid w:val="009A0643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4AF6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4AF6"/>
    <w:rPr>
      <w:rFonts w:ascii="Calibri" w:hAnsi="Calibri"/>
      <w:kern w:val="2"/>
      <w:szCs w:val="21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804B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788F"/>
  </w:style>
  <w:style w:type="paragraph" w:styleId="Zpat">
    <w:name w:val="footer"/>
    <w:basedOn w:val="Normln"/>
    <w:link w:val="ZpatChar"/>
    <w:uiPriority w:val="99"/>
    <w:unhideWhenUsed/>
    <w:rsid w:val="001C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788F"/>
  </w:style>
  <w:style w:type="table" w:styleId="Mkatabulky">
    <w:name w:val="Table Grid"/>
    <w:basedOn w:val="Normlntabulka"/>
    <w:uiPriority w:val="99"/>
    <w:rsid w:val="001C788F"/>
    <w:pPr>
      <w:spacing w:after="24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1627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Henzlová Dita</dc:creator>
  <cp:keywords/>
  <dc:description/>
  <cp:lastModifiedBy>Henzlová Dita</cp:lastModifiedBy>
  <cp:revision>7</cp:revision>
  <cp:lastPrinted>2024-01-30T08:21:00Z</cp:lastPrinted>
  <dcterms:created xsi:type="dcterms:W3CDTF">2024-01-30T08:29:00Z</dcterms:created>
  <dcterms:modified xsi:type="dcterms:W3CDTF">2024-02-02T12:36:00Z</dcterms:modified>
</cp:coreProperties>
</file>