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77168947" w:edGrp="everyone"/>
      <w:permEnd w:id="177168947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266DDC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19. – 24. 4. </w:t>
            </w:r>
            <w:r w:rsidR="000E5A67">
              <w:rPr>
                <w:rFonts w:cs="Arial"/>
              </w:rPr>
              <w:t>2023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Default="000E5A67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Veletrh cestovního ruchu </w:t>
            </w:r>
            <w:proofErr w:type="spellStart"/>
            <w:r w:rsidR="00266DDC">
              <w:rPr>
                <w:rFonts w:cs="Arial"/>
              </w:rPr>
              <w:t>Slovakiatour</w:t>
            </w:r>
            <w:proofErr w:type="spellEnd"/>
            <w:r w:rsidR="00266DDC">
              <w:rPr>
                <w:rFonts w:cs="Arial"/>
              </w:rPr>
              <w:t xml:space="preserve"> Bratislava</w:t>
            </w:r>
          </w:p>
          <w:p w:rsidR="000E5A67" w:rsidRDefault="000E5A67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Prezentace nabídky cestovního ruchu </w:t>
            </w:r>
            <w:r w:rsidR="00B55D2E">
              <w:rPr>
                <w:rFonts w:cs="Arial"/>
              </w:rPr>
              <w:t>Ústeckého kraje</w:t>
            </w:r>
          </w:p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Default="00266DD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19. 4. </w:t>
            </w:r>
            <w:r w:rsidR="000E5A67">
              <w:rPr>
                <w:rFonts w:cs="Arial"/>
              </w:rPr>
              <w:t xml:space="preserve">2023 odjezd </w:t>
            </w:r>
            <w:r>
              <w:rPr>
                <w:rFonts w:cs="Arial"/>
              </w:rPr>
              <w:t>na Slovensko</w:t>
            </w:r>
            <w:r w:rsidR="000E5A67">
              <w:rPr>
                <w:rFonts w:cs="Arial"/>
              </w:rPr>
              <w:t>, příprava expozice Ústeckého kraje</w:t>
            </w:r>
          </w:p>
          <w:p w:rsidR="000E5A67" w:rsidRDefault="00266DD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20. – 23. 4. </w:t>
            </w:r>
            <w:r w:rsidR="000E5A67">
              <w:rPr>
                <w:rFonts w:cs="Arial"/>
              </w:rPr>
              <w:t>2023 účast na veletrhu, prezentace</w:t>
            </w:r>
          </w:p>
          <w:p w:rsidR="000E5A67" w:rsidRDefault="00266DDC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24. 4</w:t>
            </w:r>
            <w:r w:rsidR="000E5A67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="000E5A67">
              <w:rPr>
                <w:rFonts w:cs="Arial"/>
              </w:rPr>
              <w:t>2023 odjezd do České republiky</w:t>
            </w:r>
          </w:p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ind w:left="72" w:firstLine="0"/>
              <w:rPr>
                <w:rFonts w:cs="Arial"/>
              </w:rPr>
            </w:pPr>
          </w:p>
          <w:p w:rsidR="000E5A67" w:rsidRDefault="000E5A67" w:rsidP="00266DDC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Účast Ústeckého kraje na veletrhu cestovního ruchu </w:t>
            </w:r>
            <w:proofErr w:type="spellStart"/>
            <w:r w:rsidR="00266DDC">
              <w:rPr>
                <w:rFonts w:cs="Arial"/>
              </w:rPr>
              <w:t>Slovakiatour</w:t>
            </w:r>
            <w:proofErr w:type="spellEnd"/>
            <w:r w:rsidR="00266DDC">
              <w:rPr>
                <w:rFonts w:cs="Arial"/>
              </w:rPr>
              <w:t xml:space="preserve"> Bratislava</w:t>
            </w:r>
            <w:r w:rsidR="00266DD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probíhala ve společné expozici </w:t>
            </w:r>
            <w:proofErr w:type="spellStart"/>
            <w:r>
              <w:rPr>
                <w:rFonts w:cs="Arial"/>
              </w:rPr>
              <w:t>CzechTourismu</w:t>
            </w:r>
            <w:proofErr w:type="spellEnd"/>
            <w:r>
              <w:rPr>
                <w:rFonts w:cs="Arial"/>
              </w:rPr>
              <w:t xml:space="preserve">. Ústecký kraj cílí na </w:t>
            </w:r>
            <w:r w:rsidR="00266DDC">
              <w:rPr>
                <w:rFonts w:cs="Arial"/>
              </w:rPr>
              <w:t>slovenský</w:t>
            </w:r>
            <w:r>
              <w:rPr>
                <w:rFonts w:cs="Arial"/>
              </w:rPr>
              <w:t xml:space="preserve"> trh každoročně, díky čemuž je počet zahraničních turistů </w:t>
            </w:r>
            <w:r w:rsidR="00266DDC">
              <w:rPr>
                <w:rFonts w:cs="Arial"/>
              </w:rPr>
              <w:t>ze Slovenska na třetím místě</w:t>
            </w:r>
            <w:r>
              <w:rPr>
                <w:rFonts w:cs="Arial"/>
              </w:rPr>
              <w:t xml:space="preserve"> hned na druhém místě za </w:t>
            </w:r>
            <w:r w:rsidR="00266DDC">
              <w:rPr>
                <w:rFonts w:cs="Arial"/>
              </w:rPr>
              <w:t>Polskem a prvním Německem</w:t>
            </w:r>
            <w:r>
              <w:rPr>
                <w:rFonts w:cs="Arial"/>
              </w:rPr>
              <w:t xml:space="preserve">. Potenciál vysoké návštěvnosti turistů </w:t>
            </w:r>
            <w:r w:rsidR="00266DDC">
              <w:rPr>
                <w:rFonts w:cs="Arial"/>
              </w:rPr>
              <w:t>ze Slovenska</w:t>
            </w:r>
            <w:r>
              <w:rPr>
                <w:rFonts w:cs="Arial"/>
              </w:rPr>
              <w:t xml:space="preserve"> spočívá ve veliké oblibě pískovcových skalních měst, cykloturistiky a návštěvě historických památek v Ústeckém kraji. </w:t>
            </w:r>
          </w:p>
          <w:p w:rsidR="003E0649" w:rsidRDefault="003E0649" w:rsidP="00923644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 xml:space="preserve">Expozici </w:t>
            </w:r>
            <w:proofErr w:type="spellStart"/>
            <w:r>
              <w:rPr>
                <w:rFonts w:cs="Arial"/>
              </w:rPr>
              <w:t>Czechtourismu</w:t>
            </w:r>
            <w:proofErr w:type="spellEnd"/>
            <w:r>
              <w:rPr>
                <w:rFonts w:cs="Arial"/>
              </w:rPr>
              <w:t xml:space="preserve"> osobně vedla ředitelka </w:t>
            </w:r>
            <w:r w:rsidR="00266DDC">
              <w:rPr>
                <w:rFonts w:cs="Arial"/>
              </w:rPr>
              <w:t xml:space="preserve">slovenského </w:t>
            </w:r>
            <w:r>
              <w:rPr>
                <w:rFonts w:cs="Arial"/>
              </w:rPr>
              <w:t xml:space="preserve">zastoupení </w:t>
            </w:r>
            <w:proofErr w:type="spellStart"/>
            <w:r>
              <w:rPr>
                <w:rFonts w:cs="Arial"/>
              </w:rPr>
              <w:t>CzT</w:t>
            </w:r>
            <w:proofErr w:type="spellEnd"/>
            <w:r>
              <w:rPr>
                <w:rFonts w:cs="Arial"/>
              </w:rPr>
              <w:t xml:space="preserve"> </w:t>
            </w:r>
            <w:r w:rsidR="00266DDC">
              <w:rPr>
                <w:rFonts w:cs="Arial"/>
              </w:rPr>
              <w:t>na Slovensku paní Nora Gill</w:t>
            </w:r>
            <w:r>
              <w:rPr>
                <w:rFonts w:cs="Arial"/>
              </w:rPr>
              <w:t xml:space="preserve">. </w:t>
            </w:r>
            <w:r w:rsidR="00266DDC">
              <w:rPr>
                <w:rFonts w:cs="Arial"/>
              </w:rPr>
              <w:t xml:space="preserve">Veletrh navštívil i velvyslanec České republiky na Slovensku pan Rudolf Jindrák. </w:t>
            </w:r>
            <w:r>
              <w:rPr>
                <w:rFonts w:cs="Arial"/>
              </w:rPr>
              <w:t>První veletržní den proběhla jednání s </w:t>
            </w:r>
            <w:proofErr w:type="spellStart"/>
            <w:r>
              <w:rPr>
                <w:rFonts w:cs="Arial"/>
              </w:rPr>
              <w:t>touoperátory</w:t>
            </w:r>
            <w:proofErr w:type="spellEnd"/>
            <w:r>
              <w:rPr>
                <w:rFonts w:cs="Arial"/>
              </w:rPr>
              <w:t xml:space="preserve"> a průvodci, kterým jsme poskytli kompletní nabídku kraje, zejména aktuální situace po požáru v Českém Švýcarsku. Ostatní dny se o nabídku Ústeckého kraje zajímali individuální turisté. Poptávali zejména rodinnou dovolenou s dětmi, nabídku kempů a karavanových stání, výlety a ubytování v Českém Švýcarsku, cykloturistickou nabídku, hlavně Labskou stezku a v neposlední řadě </w:t>
            </w:r>
            <w:proofErr w:type="spellStart"/>
            <w:r>
              <w:rPr>
                <w:rFonts w:cs="Arial"/>
              </w:rPr>
              <w:t>skiareály</w:t>
            </w:r>
            <w:proofErr w:type="spellEnd"/>
            <w:r>
              <w:rPr>
                <w:rFonts w:cs="Arial"/>
              </w:rPr>
              <w:t xml:space="preserve"> Krušných hor. Jako každý rok byl velký zájem o mapy, brožury Průvodce a Magazín Brána. Nutné bude doplnit </w:t>
            </w:r>
            <w:proofErr w:type="spellStart"/>
            <w:r>
              <w:rPr>
                <w:rFonts w:cs="Arial"/>
              </w:rPr>
              <w:t>portfólio</w:t>
            </w:r>
            <w:proofErr w:type="spellEnd"/>
            <w:r>
              <w:rPr>
                <w:rFonts w:cs="Arial"/>
              </w:rPr>
              <w:t xml:space="preserve"> propagačních letáků o nabídku kempů, výletů pro děti a specifickou nabídku </w:t>
            </w:r>
            <w:r w:rsidR="00266DDC">
              <w:rPr>
                <w:rFonts w:cs="Arial"/>
              </w:rPr>
              <w:t>Českého Švýcarska.</w:t>
            </w:r>
          </w:p>
          <w:p w:rsidR="005042CB" w:rsidRPr="00CA5C92" w:rsidRDefault="003E0649" w:rsidP="00B55D2E">
            <w:pPr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Veletrh měl vysokou účast návštěvníků a </w:t>
            </w:r>
            <w:r w:rsidR="00B55D2E">
              <w:rPr>
                <w:rFonts w:cs="Arial"/>
              </w:rPr>
              <w:t>potvrdil velký zájem o Ústecký kraj, který jsme letos opět podpořili aktualizovanou nabídkou.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3E0649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Bc. Pavel Grund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B55D2E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23/RP020001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B55D2E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Ellen Herzogová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266DDC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26. 4</w:t>
            </w:r>
            <w:r w:rsidR="00B55D2E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bookmarkStart w:id="0" w:name="_GoBack"/>
            <w:bookmarkEnd w:id="0"/>
            <w:r w:rsidR="00B55D2E">
              <w:rPr>
                <w:rFonts w:cs="Arial"/>
              </w:rPr>
              <w:t>2023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C4" w:rsidRPr="00933A64" w:rsidRDefault="009125C4" w:rsidP="00933A64">
      <w:r>
        <w:separator/>
      </w:r>
    </w:p>
  </w:endnote>
  <w:endnote w:type="continuationSeparator" w:id="0">
    <w:p w:rsidR="009125C4" w:rsidRPr="00933A64" w:rsidRDefault="009125C4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9125C4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6DDC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9125C4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C4" w:rsidRPr="00933A64" w:rsidRDefault="009125C4" w:rsidP="00933A64">
      <w:r>
        <w:separator/>
      </w:r>
    </w:p>
  </w:footnote>
  <w:footnote w:type="continuationSeparator" w:id="0">
    <w:p w:rsidR="009125C4" w:rsidRPr="00933A64" w:rsidRDefault="009125C4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E5A67"/>
    <w:rsid w:val="000F05CC"/>
    <w:rsid w:val="00122DAA"/>
    <w:rsid w:val="00144501"/>
    <w:rsid w:val="001E62DE"/>
    <w:rsid w:val="001F5865"/>
    <w:rsid w:val="001F7EFC"/>
    <w:rsid w:val="00204FD5"/>
    <w:rsid w:val="00206A44"/>
    <w:rsid w:val="00266DDC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3E0649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25C4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55D2E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772FA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0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2021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Herzogová Ellen</cp:lastModifiedBy>
  <cp:revision>2</cp:revision>
  <cp:lastPrinted>2019-10-22T11:41:00Z</cp:lastPrinted>
  <dcterms:created xsi:type="dcterms:W3CDTF">2023-04-26T13:59:00Z</dcterms:created>
  <dcterms:modified xsi:type="dcterms:W3CDTF">2023-04-26T13:59:00Z</dcterms:modified>
</cp:coreProperties>
</file>