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A.1. Informace podle § 7 odst. 3 zákona</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Účetní jednotka Ústecký kraj nepřetržitě pokračuje i v následujícím účetním období ve své činnosti, nedošlo ke změnám metody z důvody ukončení činnosti, nenastala žádná skutečnost, která by ji omezovala nebo ji zabraňovala v této činnosti pokračovat i v dohledné době. </w:t>
            </w: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A.2. Informace podle § 7 odst. 4 zákona</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Uspořádání a označování položek rozvahy a výkazu zisku a ztráty a jejich obsahové vymezení a způsoby oceňování jsou v souladu s prováděcí vyhláškou k zákonu o účetnictví (od 1. 1. 2010 vyhl. č. 410/2009 Sb.) další změny specifické pro účetní jednotku nebyly v roce 2020 prováděny. </w:t>
            </w: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A.3. Informace podle § 7 odst. 5 zákona</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Použité účetní metody odpovídají platné legislativě, jsou upřesněny ve vnitřních předpisech kraje, zejména ve směrnicích k účetnictví a majetku k vnitřnímu kontrolnímu systému a k vymáhání pohledávek. Pro vedení účetnictví je použiván ekonomicko-informační systém Microsoft Dynamics NAV Classic dodržováním stanovené metodiky a závazných analytik účtů pro zajištění správnosti jednotlivých výkazů. Od 1. 7. 2019 byl ekonomicko-informační systém NAV povýšen na verzi NAV 2018, zároveň byl přidán modul na tvorbu podmíněných pohledávek a závazků, kdy při založení smlouvy nad 10 mil. Kč se automaticky účtuje na podrozvahové účty. Ústecký kraj i v roce 2020 účtuje pouze o hlavní činnosti, (hospodářská) činnost nebyla na kraji vymezena. Od 1. 8. 2009 je Ústecký kraj plátcem DPH. Oceňování majetku se od roku 2010 nezměnilo - majetek určený k prodeji je oceňován reálnou hodnotou definovanou zákonem, bližší upřesnění je uvedeno ve vnitřních předpisech Ústeckého kraje. Používání cizí měny je v účetnictví upraveno ve vnitřním předpise. Pohledávky a závazky se oceňují stanoveným pevným kurzem, který je určen podle kurzu cizích měn vyhlášených ČNB k 1.1. a 1. 7. daného roku. Další používané účetní postupy a zásady. Pořizování a vyřazování majetku se provádí prostřednictvím vnitřních předpisů - drobný dlouhodobý nehmotný majetek v pořizovací ceně od 7.000,-- Kč do 60.000,--Kč. Drobný dlouhodobý hmotný majetek v pořizovací ceně od 3.000,-- do 40.000,-- Kč. Na veškerý odpisovaný majetek je používán rovnoměrný způsob odpisování. Na účtech poskytnutých a přijatých transferů je postupováno podle Českého účetního standardu č. 703 s ohledem na okamžik poskytnutí nebo přijetí zálohy a okamžik vypořádání, pokud je období delší než jeden rok, považuje se tato záloha za dlouhodobou, ostatní zálohy se považují za krátkodobé. Tvorba a čerpání fondů se účtuje i v roce 2020 stejně, tzn. prostřednictvím příslušných nákladových a výnosových účtů. Ústecký kraj měl v roce 2020 sedm účelových fondů - Fond zaměstnavatele, Fond Ústeckého kraje, Fond životního prostředí, Regionální a podpůrný fond, Fond investic a oprav, Fond regionálního rozvoje, Fond mimořádných událostí, Fond vodního hospodářství, jejich hospodaření se řídí schválenými statuty. Metoda časového rozlišení byla v roce 2020 použita pro případy přesahující 100.000,-- Kč, až k rozvahovému dni tj. 31. 12. 2020. Stav podrozvahových účtů je samostatnou přílohou účetní závěrky. Podmíněné pohledávky a závazky ze smluv o dílo účtuje Ústecký kraj od výše 10 mil. Kč, opravy dlouhodobého majetku od výše 30 mil. Kč. Ústecký kraj zpracovává od roku 2012 Pomocný analytický přehled, od roku 2015 zpracovává rozšířený PAP pro vykazování konsolidačních partnerů. </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lastRenderedPageBreak/>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A.4. Informace podle § 7 odst. 5 zákona o stavu účtů v knize podrozvahových účtů</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69"/>
        <w:gridCol w:w="1293"/>
        <w:gridCol w:w="3270"/>
        <w:gridCol w:w="1712"/>
        <w:gridCol w:w="1712"/>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Číslo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Syntetický účet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minulé</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Majetek a závazky účetní jednotky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29327961259.43</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28803421646.02</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901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Jiný drobný dlouhodobý nehmotný majetek</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27584981.22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24172675.10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Jiný drobný dlouhodobý hmotný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19975322.93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20528026.58</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905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Vyřazené pohledávky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5529393.94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27711093.44</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Vyřazené závazky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909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Ostatní majetek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29274871561.34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28731009850.90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Krátkodobé podmíněné pohledávky z transferů a krátkodobé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Ostatní krátkodobé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916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Ostatní krátkodobé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P.III.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Podmíněné pohledávky z důvodu užívání majetku jinou osobou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921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 důvodu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922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 důvodou úplatného užívání majetku jinou osobou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lastRenderedPageBreak/>
              <w:t>P.III.3.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923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924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 důvodu užívání majetku jinou osobou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925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926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 důvodu užívání majetku jinou osobou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P.IV.</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Další podmíněné pohledávky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112658001.90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121945759.31</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932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ze smluv o prodeji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933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50508095.49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62027584.32</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ze sdílených daní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942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943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ze vztahu k jiným zdrojům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945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úhrady pohledávek z přijatých zajištění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62149906.41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59918174.99</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947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P.IV.12.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948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P.V.</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Dlouhodobé podmíněné pohledávky z transferů a dlouhodobé podmíněné závazky z transferů</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2540356853.51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2674554368.70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lastRenderedPageBreak/>
              <w:t>P.V.1.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951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 předfinancování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953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pohledávky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91051050.97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93980610.42</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ze zahraničních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955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Ostatní dlouhodobé podmíněné pohledávky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2387346638.02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2488614593.76</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956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Ostatní dlouhodobé podmíněné závazky z transferů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61959164.52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91959164.52</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P.VI.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Podmíněné závazky z důvodu užívání cizího majetku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961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 operativního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 finančního leasingu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965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966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 důvodu užívání cizího majetku na základě smlouvy o výpůjčce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967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 důvodu užívání cizího majetku nebo jeho převzetí z jiných důvodů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P.VII.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Další podmíněné závazky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13907928888.65</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9360564986.12</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971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369360013.34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520321210.35</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972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ze smluv o pořízení dlouhodobého majetku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1456469012.62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1231857467.95</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973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1584509410.40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161032475.80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974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 jiných smluv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10434965204.34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7383217179.52</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975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lastRenderedPageBreak/>
              <w:t>P.VII.6.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976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 přijatého kolaterálu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P.VII.7.</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979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vyplývající z právních předpisů a další činnosti moci zákonodárné, výkonné nebo soudní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981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P.VII.10.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 poskytnutých garancí jednorázových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22775247.95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24286652.50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P.VII.11.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983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P.VII.12.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984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 poskytnutých garancí ostatních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P.VII.13.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985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Krátkodobé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P.VII.14.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986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Dlouhodobé podmíněné závazky ze soudních sporů, správních řízení a jiných řízení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39850000.00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39850000.00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P.VIII.</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Ostatní podmíněná aktiva a ostatní podmíněná pasiva a vyrovnávací účty</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991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Ostatní krátkodobá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Ostatní dlouhodobá podmíněná aktiva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P.VIII.3.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993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Ostatní krátkodobá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P.VIII.4.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994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Ostatní dlouhodobá podmíněná pasiva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P.VIII.5.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999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Vyrovnávací účet k podrozvahovým účtům </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17949128897.15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22055438458.87</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lastRenderedPageBreak/>
        <w:t>A.5. Informace podle § 18 odst. 3 písm. b)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A.5. Informace podle § 18 odst. 3 písm. b) zákona</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IČ: 70892156 Ústecký kraj subjekt vznikl dle zákona č. 129/200 Sb., o krajích dne 12. 11. 2000 Ústecký kraj není zapsán ve veřejném rejstříku </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A.6. Informace podle § 19 odst. 6 zákona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056"/>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A.6. Informace podle § 19 odst. 6 zákona</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Nenastaly žádné významné události mezi rozvahovým dnem a okamžikem sestavení účetní závěrky. </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B.1.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Informace podle § 66 odst. 6 zákona</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Zápisy do katastru nemovitostí jsou účtovány průběžně během roku. </w:t>
            </w: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B.2.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Informace podle § 66 odst. 8 zákona</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Netýká se Ústeckého kraje. </w:t>
            </w: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B.3.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Informace podle § 68 odst. 3 zákona</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 xml:space="preserve">Ústecký kraj v I. Q. 2020 provedl mezi přísp. organizacemi vzájemné zápočty v hodnotě 21 mil Kč. </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lastRenderedPageBreak/>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023"/>
        <w:gridCol w:w="1513"/>
        <w:gridCol w:w="1554"/>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minulé</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C.1.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Zvýšení stavu transferů na pořízení dlouhodobého majetku za běžné účetní období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63016692.31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424635889.77</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C.2.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Snížení stavu transferů na pořízení dlouhodobého majetku ve věcné a časové souvislosti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300134536.95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411640383.90</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00"/>
        <w:gridCol w:w="8456"/>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D.1.</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Počet jednotlivých věcí a souborů majetku nebo seznam tohoto majetku</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D.2.</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Celková výměra lesních pozemků s lesním porostem</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D.3.</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Výše ocenění celkové výměry lesních pozemků s lesním porostem ve výši 57 Kč/m2</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D.4.</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Výměra lesních pozemků s lesním porostem oceněných jiným způsobem</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D.5.</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Výše ocenění lesních pozemků s lesním porostem oceněných jiným způsobem</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D.6.</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Průměrná výše ocenění výměry lesních pozemků s lesním porostem oceněných jiným způsobem</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D.7.</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Komentář k ocenění lesních pozemků jiným způsobem</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Ostatní fondy</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lastRenderedPageBreak/>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F. Doplňující informace k fondům účetní jednotky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015"/>
        <w:gridCol w:w="1522"/>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Běžné období</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G.I. Počáteční stav fondu k 1.1.</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861650362.35</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G.II. Tvorba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626373052.70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1. Přebytky hospodaření z minulých let</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2. Příjmy běžného roku, které nejsou určeny k využití v běžném roce</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45214642.34</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3. Převody prostředků z rozpočtu během roku do účelových peněžních fondů</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581158410.36</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4. Ostatní tvorba fondu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G.III. Čerpání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495195464.80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G.IV. Konečný stav fondu</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i/>
                <w:iCs/>
                <w:sz w:val="20"/>
                <w:szCs w:val="20"/>
                <w:lang w:eastAsia="cs-CZ"/>
              </w:rPr>
            </w:pPr>
            <w:r w:rsidRPr="008B6151">
              <w:rPr>
                <w:rFonts w:ascii="Arial" w:eastAsia="Times New Roman" w:hAnsi="Arial" w:cs="Arial"/>
                <w:i/>
                <w:iCs/>
                <w:sz w:val="20"/>
                <w:szCs w:val="20"/>
                <w:lang w:eastAsia="cs-CZ"/>
              </w:rPr>
              <w:t>992827950.25</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G. Doplňující informace k položce „A.II.3. Stavby"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843"/>
        <w:gridCol w:w="1631"/>
        <w:gridCol w:w="1668"/>
        <w:gridCol w:w="1612"/>
        <w:gridCol w:w="1603"/>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minulé</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G.</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974135420.89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153418904.50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820716516.39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1229696048.83</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G.1.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Bytové domy a 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-49463127.06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-49463127.06</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G.2.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Budovy pro služby obyvatelstvu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698723961.98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83045672.44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615678289.54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620027857.20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G.3.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Jiné nebytové domy a nebytové jednotky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16410100.00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461538.00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15948562.00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16051126.00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G.4.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Komunikace a veřejné osvětlení</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142585121.69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16358373.00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126226748.69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142928572.10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G.5.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Jiné inženýrské sítě</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10096167.63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286107.00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9810060.63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9911040.63</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G.6.</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Ostatní stavby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106320069.59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3804087.00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102515982.59</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490240579.96</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lastRenderedPageBreak/>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H. Doplňující informace k položce „A.II.1. Pozemky" výkazu rozvahy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99"/>
        <w:gridCol w:w="1967"/>
        <w:gridCol w:w="1706"/>
        <w:gridCol w:w="1540"/>
        <w:gridCol w:w="1669"/>
        <w:gridCol w:w="1475"/>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Číslo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 brutto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 korekce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 netto</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minulé</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H.</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80312678.44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80312678.44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79269791.42</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H.1.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Stavební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H.2.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Lesní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236554.03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236554.03</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H.3.</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Zahrady, pastviny, louky, rybníky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36389503.95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36389503.95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33782182.83</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H.4.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Zastavěná plocha</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10667987.68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10667987.68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10653530.30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H.5.</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Ostatní pozemky</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33018632.78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33018632.78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34597524.26</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I. Doplňující informace k položce "A.II.4. Náklady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6"/>
        <w:gridCol w:w="5335"/>
        <w:gridCol w:w="1350"/>
        <w:gridCol w:w="1405"/>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minulé</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I.</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I.1.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Náklady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I.2.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Ostatní náklady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lastRenderedPageBreak/>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J. Doplňující informace k položce "B.II.4. Výnosy z přecenění reálnou hodnotou" výkazu zisku a ztráty</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67"/>
        <w:gridCol w:w="5326"/>
        <w:gridCol w:w="1354"/>
        <w:gridCol w:w="1409"/>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Položka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Název položky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běžné</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Období minulé</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J.</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J.1.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Výnosy z přecenění reálnou hodnotou majetku určeného k prodeji podle § 64</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J.2.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Ostatní výnosy z přecenění reálnou hodnotou</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Údaje k poskytnutým garancím jednorázovým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62"/>
        <w:gridCol w:w="576"/>
        <w:gridCol w:w="563"/>
        <w:gridCol w:w="638"/>
        <w:gridCol w:w="611"/>
        <w:gridCol w:w="673"/>
        <w:gridCol w:w="673"/>
        <w:gridCol w:w="673"/>
        <w:gridCol w:w="571"/>
        <w:gridCol w:w="589"/>
        <w:gridCol w:w="589"/>
        <w:gridCol w:w="589"/>
        <w:gridCol w:w="611"/>
        <w:gridCol w:w="611"/>
        <w:gridCol w:w="527"/>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Předmět ručení</w:t>
            </w:r>
          </w:p>
        </w:tc>
      </w:tr>
      <w:tr w:rsidR="008B6151" w:rsidRPr="008B6151" w:rsidTr="008B6151">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45244782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Česká spořitel</w:t>
            </w:r>
            <w:r w:rsidRPr="008B6151">
              <w:rPr>
                <w:rFonts w:ascii="Arial" w:eastAsia="Times New Roman" w:hAnsi="Arial" w:cs="Arial"/>
                <w:sz w:val="20"/>
                <w:szCs w:val="20"/>
                <w:lang w:eastAsia="cs-CZ"/>
              </w:rPr>
              <w:lastRenderedPageBreak/>
              <w:t>na, a.s.</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lastRenderedPageBreak/>
              <w:t>06231292</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Dopravní společn</w:t>
            </w:r>
            <w:r w:rsidRPr="008B6151">
              <w:rPr>
                <w:rFonts w:ascii="Arial" w:eastAsia="Times New Roman" w:hAnsi="Arial" w:cs="Arial"/>
                <w:sz w:val="20"/>
                <w:szCs w:val="20"/>
                <w:lang w:eastAsia="cs-CZ"/>
              </w:rPr>
              <w:lastRenderedPageBreak/>
              <w:t>ost Ústeckého kraje, příspěvková</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lastRenderedPageBreak/>
              <w:t>18.12.2018</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23527694.60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23527694.60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NaN.NaN.</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jc w:val="right"/>
              <w:rPr>
                <w:rFonts w:ascii="Arial" w:eastAsia="Times New Roman" w:hAnsi="Arial" w:cs="Arial"/>
                <w:sz w:val="20"/>
                <w:szCs w:val="20"/>
                <w:lang w:eastAsia="cs-CZ"/>
              </w:rPr>
            </w:pPr>
            <w:r w:rsidRPr="008B6151">
              <w:rPr>
                <w:rFonts w:ascii="Arial" w:eastAsia="Times New Roman" w:hAnsi="Arial" w:cs="Arial"/>
                <w:sz w:val="20"/>
                <w:szCs w:val="20"/>
                <w:lang w:eastAsia="cs-CZ"/>
              </w:rPr>
              <w:t>0.00</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r w:rsidRPr="008B6151">
              <w:rPr>
                <w:rFonts w:ascii="Arial" w:eastAsia="Times New Roman" w:hAnsi="Arial" w:cs="Arial"/>
                <w:sz w:val="20"/>
                <w:szCs w:val="20"/>
                <w:lang w:eastAsia="cs-CZ"/>
              </w:rPr>
              <w:t>1</w:t>
            </w:r>
          </w:p>
        </w:tc>
        <w:tc>
          <w:tcPr>
            <w:tcW w:w="0" w:type="auto"/>
            <w:tcBorders>
              <w:top w:val="single" w:sz="6" w:space="0" w:color="000000"/>
              <w:left w:val="single" w:sz="6" w:space="0" w:color="000000"/>
              <w:bottom w:val="single" w:sz="6" w:space="0" w:color="000000"/>
              <w:right w:val="single" w:sz="6" w:space="0" w:color="000000"/>
            </w:tcBorders>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sz w:val="20"/>
                <w:szCs w:val="20"/>
                <w:lang w:eastAsia="cs-CZ"/>
              </w:rPr>
            </w:pPr>
          </w:p>
        </w:tc>
      </w:tr>
    </w:tbl>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Údaje k poskytnutým garancím ostatním</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49"/>
        <w:gridCol w:w="549"/>
        <w:gridCol w:w="548"/>
        <w:gridCol w:w="548"/>
        <w:gridCol w:w="625"/>
        <w:gridCol w:w="689"/>
        <w:gridCol w:w="689"/>
        <w:gridCol w:w="689"/>
        <w:gridCol w:w="575"/>
        <w:gridCol w:w="602"/>
        <w:gridCol w:w="602"/>
        <w:gridCol w:w="602"/>
        <w:gridCol w:w="625"/>
        <w:gridCol w:w="625"/>
        <w:gridCol w:w="539"/>
      </w:tblGrid>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IČ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Název účetní jednotky - věřitele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IČ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Název účetní jednotky - dlužníka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Datum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Hodnota zajištěné pohledávky: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Hodnota zajištěné pohledávky: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Hodnota zajištěné pohledávky: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Datum plnění ručitelem v daném roce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Výše plnění ručitelem: celkem</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Výše plnění ručitelem: jistina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Výše plnění ručitelem: úrok</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Celková výše plnění ručitelem od poskytnutí garance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Druh dluhového nástroje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Předmět ručení</w:t>
            </w:r>
          </w:p>
        </w:tc>
      </w:tr>
    </w:tbl>
    <w:p w:rsidR="008B6151" w:rsidRPr="008B6151" w:rsidRDefault="008B6151" w:rsidP="008B6151">
      <w:pPr>
        <w:pBdr>
          <w:top w:val="single" w:sz="6" w:space="10" w:color="000000"/>
        </w:pBdr>
        <w:spacing w:before="720" w:after="100" w:afterAutospacing="1" w:line="240" w:lineRule="auto"/>
        <w:outlineLvl w:val="0"/>
        <w:rPr>
          <w:rFonts w:ascii="Arial" w:eastAsia="Times New Roman" w:hAnsi="Arial" w:cs="Arial"/>
          <w:b/>
          <w:bCs/>
          <w:kern w:val="36"/>
          <w:sz w:val="48"/>
          <w:szCs w:val="48"/>
          <w:lang w:eastAsia="cs-CZ"/>
        </w:rPr>
      </w:pPr>
      <w:r w:rsidRPr="008B6151">
        <w:rPr>
          <w:rFonts w:ascii="Arial" w:eastAsia="Times New Roman" w:hAnsi="Arial" w:cs="Arial"/>
          <w:b/>
          <w:bCs/>
          <w:kern w:val="36"/>
          <w:sz w:val="48"/>
          <w:szCs w:val="48"/>
          <w:lang w:eastAsia="cs-CZ"/>
        </w:rPr>
        <w:t>Příloha</w:t>
      </w:r>
    </w:p>
    <w:p w:rsidR="008B6151" w:rsidRPr="008B6151" w:rsidRDefault="008B6151" w:rsidP="008B6151">
      <w:pPr>
        <w:spacing w:before="100" w:beforeAutospacing="1" w:after="100" w:afterAutospacing="1" w:line="240" w:lineRule="auto"/>
        <w:outlineLvl w:val="1"/>
        <w:rPr>
          <w:rFonts w:ascii="Arial" w:eastAsia="Times New Roman" w:hAnsi="Arial" w:cs="Arial"/>
          <w:b/>
          <w:bCs/>
          <w:sz w:val="36"/>
          <w:szCs w:val="36"/>
          <w:lang w:eastAsia="cs-CZ"/>
        </w:rPr>
      </w:pPr>
      <w:r w:rsidRPr="008B6151">
        <w:rPr>
          <w:rFonts w:ascii="Arial" w:eastAsia="Times New Roman" w:hAnsi="Arial" w:cs="Arial"/>
          <w:b/>
          <w:bCs/>
          <w:sz w:val="36"/>
          <w:szCs w:val="36"/>
          <w:lang w:eastAsia="cs-CZ"/>
        </w:rPr>
        <w:t>ZÁKLADNÍ</w:t>
      </w:r>
    </w:p>
    <w:p w:rsidR="008B6151" w:rsidRPr="008B6151" w:rsidRDefault="008B6151" w:rsidP="008B6151">
      <w:pPr>
        <w:spacing w:before="120" w:after="120" w:line="240" w:lineRule="auto"/>
        <w:outlineLvl w:val="4"/>
        <w:rPr>
          <w:rFonts w:ascii="Arial" w:eastAsia="Times New Roman" w:hAnsi="Arial" w:cs="Arial"/>
          <w:b/>
          <w:bCs/>
          <w:sz w:val="24"/>
          <w:szCs w:val="24"/>
          <w:lang w:eastAsia="cs-CZ"/>
        </w:rPr>
      </w:pPr>
      <w:r w:rsidRPr="008B6151">
        <w:rPr>
          <w:rFonts w:ascii="Arial" w:eastAsia="Times New Roman" w:hAnsi="Arial" w:cs="Arial"/>
          <w:b/>
          <w:bCs/>
          <w:sz w:val="24"/>
          <w:szCs w:val="24"/>
          <w:lang w:eastAsia="cs-CZ"/>
        </w:rPr>
        <w:t>IČ 70892156</w:t>
      </w:r>
      <w:r w:rsidRPr="008B6151">
        <w:rPr>
          <w:rFonts w:ascii="Arial" w:eastAsia="Times New Roman" w:hAnsi="Arial" w:cs="Arial"/>
          <w:b/>
          <w:bCs/>
          <w:sz w:val="24"/>
          <w:szCs w:val="24"/>
          <w:lang w:eastAsia="cs-CZ"/>
        </w:rPr>
        <w:br/>
        <w:t>sestavená k 30.6.2020</w:t>
      </w:r>
      <w:r w:rsidRPr="008B6151">
        <w:rPr>
          <w:rFonts w:ascii="Arial" w:eastAsia="Times New Roman" w:hAnsi="Arial" w:cs="Arial"/>
          <w:b/>
          <w:bCs/>
          <w:sz w:val="24"/>
          <w:szCs w:val="24"/>
          <w:lang w:eastAsia="cs-CZ"/>
        </w:rPr>
        <w:br/>
        <w:t>(v Kč s přesností na dvě desetinná místa)</w:t>
      </w:r>
    </w:p>
    <w:p w:rsidR="008B6151" w:rsidRPr="008B6151" w:rsidRDefault="008B6151" w:rsidP="008B6151">
      <w:pPr>
        <w:spacing w:before="100" w:beforeAutospacing="1" w:after="100" w:afterAutospacing="1" w:line="240" w:lineRule="auto"/>
        <w:outlineLvl w:val="2"/>
        <w:rPr>
          <w:rFonts w:ascii="Arial" w:eastAsia="Times New Roman" w:hAnsi="Arial" w:cs="Arial"/>
          <w:b/>
          <w:bCs/>
          <w:sz w:val="27"/>
          <w:szCs w:val="27"/>
          <w:lang w:eastAsia="cs-CZ"/>
        </w:rPr>
      </w:pPr>
      <w:r w:rsidRPr="008B6151">
        <w:rPr>
          <w:rFonts w:ascii="Arial" w:eastAsia="Times New Roman" w:hAnsi="Arial" w:cs="Arial"/>
          <w:b/>
          <w:bCs/>
          <w:sz w:val="27"/>
          <w:szCs w:val="27"/>
          <w:lang w:eastAsia="cs-CZ"/>
        </w:rPr>
        <w:t>Informace o projektech partnerství veřejného a soukromého sektoru</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76"/>
        <w:gridCol w:w="752"/>
        <w:gridCol w:w="767"/>
        <w:gridCol w:w="851"/>
        <w:gridCol w:w="347"/>
        <w:gridCol w:w="753"/>
        <w:gridCol w:w="814"/>
        <w:gridCol w:w="1105"/>
        <w:gridCol w:w="243"/>
        <w:gridCol w:w="187"/>
        <w:gridCol w:w="187"/>
        <w:gridCol w:w="187"/>
        <w:gridCol w:w="187"/>
        <w:gridCol w:w="147"/>
        <w:gridCol w:w="91"/>
        <w:gridCol w:w="91"/>
        <w:gridCol w:w="91"/>
        <w:gridCol w:w="91"/>
        <w:gridCol w:w="91"/>
        <w:gridCol w:w="91"/>
        <w:gridCol w:w="91"/>
        <w:gridCol w:w="91"/>
        <w:gridCol w:w="91"/>
        <w:gridCol w:w="91"/>
        <w:gridCol w:w="234"/>
        <w:gridCol w:w="178"/>
        <w:gridCol w:w="177"/>
        <w:gridCol w:w="177"/>
        <w:gridCol w:w="177"/>
      </w:tblGrid>
      <w:tr w:rsidR="008B6151" w:rsidRPr="008B6151" w:rsidTr="008B6151">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Základní údaje</w:t>
            </w:r>
          </w:p>
        </w:tc>
        <w:tc>
          <w:tcPr>
            <w:tcW w:w="0" w:type="auto"/>
            <w:gridSpan w:val="3"/>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Dodavatel</w:t>
            </w:r>
          </w:p>
        </w:tc>
        <w:tc>
          <w:tcPr>
            <w:tcW w:w="0" w:type="auto"/>
            <w:gridSpan w:val="2"/>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Stavební fáze</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Výdaje vynaložené na pořízení majetku</w:t>
            </w:r>
          </w:p>
        </w:tc>
        <w:tc>
          <w:tcPr>
            <w:tcW w:w="0" w:type="auto"/>
            <w:gridSpan w:val="11"/>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Platby za dostupnost</w:t>
            </w:r>
          </w:p>
        </w:tc>
        <w:tc>
          <w:tcPr>
            <w:tcW w:w="0" w:type="auto"/>
            <w:gridSpan w:val="5"/>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Další platby a plnění zadavatele</w:t>
            </w:r>
          </w:p>
        </w:tc>
      </w:tr>
      <w:tr w:rsidR="008B6151" w:rsidRPr="008B6151" w:rsidTr="008B6151">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Projekt</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Druh projektu</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 xml:space="preserve">Datum uzavření </w:t>
            </w:r>
            <w:r w:rsidRPr="008B6151">
              <w:rPr>
                <w:rFonts w:ascii="Arial" w:eastAsia="Times New Roman" w:hAnsi="Arial" w:cs="Arial"/>
                <w:b/>
                <w:bCs/>
                <w:color w:val="FFFFFF"/>
                <w:sz w:val="20"/>
                <w:szCs w:val="20"/>
                <w:lang w:eastAsia="cs-CZ"/>
              </w:rPr>
              <w:lastRenderedPageBreak/>
              <w:t>smlouvy</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lastRenderedPageBreak/>
              <w:t>Obchodní firma</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IČ</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Rok zahájení</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Rok ukončení</w:t>
            </w:r>
          </w:p>
        </w:tc>
        <w:tc>
          <w:tcPr>
            <w:tcW w:w="0" w:type="auto"/>
            <w:tcBorders>
              <w:top w:val="single" w:sz="6" w:space="0" w:color="B0B0B0"/>
              <w:left w:val="single" w:sz="6" w:space="0" w:color="B0B0B0"/>
              <w:bottom w:val="single" w:sz="6" w:space="0" w:color="B0B0B0"/>
              <w:right w:val="single" w:sz="6" w:space="0" w:color="B0B0B0"/>
            </w:tcBorders>
            <w:shd w:val="clear" w:color="auto" w:fill="003366"/>
            <w:tcMar>
              <w:top w:w="45" w:type="dxa"/>
              <w:left w:w="105" w:type="dxa"/>
              <w:bottom w:w="30" w:type="dxa"/>
              <w:right w:w="105" w:type="dxa"/>
            </w:tcMar>
            <w:vAlign w:val="center"/>
            <w:hideMark/>
          </w:tcPr>
          <w:p w:rsidR="008B6151" w:rsidRPr="008B6151" w:rsidRDefault="008B6151" w:rsidP="008B6151">
            <w:pPr>
              <w:spacing w:after="0" w:line="240" w:lineRule="auto"/>
              <w:rPr>
                <w:rFonts w:ascii="Arial" w:eastAsia="Times New Roman" w:hAnsi="Arial" w:cs="Arial"/>
                <w:b/>
                <w:bCs/>
                <w:color w:val="FFFFFF"/>
                <w:sz w:val="20"/>
                <w:szCs w:val="20"/>
                <w:lang w:eastAsia="cs-CZ"/>
              </w:rPr>
            </w:pPr>
            <w:r w:rsidRPr="008B6151">
              <w:rPr>
                <w:rFonts w:ascii="Arial" w:eastAsia="Times New Roman" w:hAnsi="Arial" w:cs="Arial"/>
                <w:b/>
                <w:bCs/>
                <w:color w:val="FFFFFF"/>
                <w:sz w:val="20"/>
                <w:szCs w:val="20"/>
                <w:lang w:eastAsia="cs-CZ"/>
              </w:rPr>
              <w:t xml:space="preserve">Ocenění pořizovaného majetku </w:t>
            </w:r>
            <w:r w:rsidRPr="008B6151">
              <w:rPr>
                <w:rFonts w:ascii="Arial" w:eastAsia="Times New Roman" w:hAnsi="Arial" w:cs="Arial"/>
                <w:b/>
                <w:bCs/>
                <w:color w:val="FFFFFF"/>
                <w:sz w:val="20"/>
                <w:szCs w:val="20"/>
                <w:lang w:eastAsia="cs-CZ"/>
              </w:rPr>
              <w:lastRenderedPageBreak/>
              <w:t>dle smlouvy</w:t>
            </w: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c>
          <w:tcPr>
            <w:tcW w:w="0" w:type="auto"/>
            <w:vAlign w:val="center"/>
            <w:hideMark/>
          </w:tcPr>
          <w:p w:rsidR="008B6151" w:rsidRPr="008B6151" w:rsidRDefault="008B6151" w:rsidP="008B6151">
            <w:pPr>
              <w:spacing w:after="0" w:line="240" w:lineRule="auto"/>
              <w:rPr>
                <w:rFonts w:ascii="Times New Roman" w:eastAsia="Times New Roman" w:hAnsi="Times New Roman" w:cs="Times New Roman"/>
                <w:sz w:val="20"/>
                <w:szCs w:val="20"/>
                <w:lang w:eastAsia="cs-CZ"/>
              </w:rPr>
            </w:pPr>
          </w:p>
        </w:tc>
      </w:tr>
    </w:tbl>
    <w:p w:rsidR="004C6205" w:rsidRDefault="004C6205">
      <w:bookmarkStart w:id="0" w:name="_GoBack"/>
      <w:bookmarkEnd w:id="0"/>
    </w:p>
    <w:sectPr w:rsidR="004C62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51"/>
    <w:rsid w:val="004C6205"/>
    <w:rsid w:val="008B61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5E4F6-3020-41A0-A5DE-49F5B7255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8B6151"/>
    <w:pPr>
      <w:pBdr>
        <w:top w:val="single" w:sz="6" w:space="10" w:color="000000"/>
      </w:pBdr>
      <w:spacing w:before="720"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link w:val="Nadpis2Char"/>
    <w:uiPriority w:val="9"/>
    <w:qFormat/>
    <w:rsid w:val="008B6151"/>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link w:val="Nadpis3Char"/>
    <w:uiPriority w:val="9"/>
    <w:qFormat/>
    <w:rsid w:val="008B6151"/>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B6151"/>
    <w:rPr>
      <w:rFonts w:ascii="Times New Roman" w:eastAsia="Times New Roman" w:hAnsi="Times New Roman" w:cs="Times New Roman"/>
      <w:b/>
      <w:bCs/>
      <w:kern w:val="36"/>
      <w:sz w:val="48"/>
      <w:szCs w:val="48"/>
      <w:lang w:eastAsia="cs-CZ"/>
    </w:rPr>
  </w:style>
  <w:style w:type="character" w:customStyle="1" w:styleId="Nadpis2Char">
    <w:name w:val="Nadpis 2 Char"/>
    <w:basedOn w:val="Standardnpsmoodstavce"/>
    <w:link w:val="Nadpis2"/>
    <w:uiPriority w:val="9"/>
    <w:rsid w:val="008B6151"/>
    <w:rPr>
      <w:rFonts w:ascii="Times New Roman" w:eastAsia="Times New Roman" w:hAnsi="Times New Roman" w:cs="Times New Roman"/>
      <w:b/>
      <w:bCs/>
      <w:sz w:val="36"/>
      <w:szCs w:val="36"/>
      <w:lang w:eastAsia="cs-CZ"/>
    </w:rPr>
  </w:style>
  <w:style w:type="character" w:customStyle="1" w:styleId="Nadpis3Char">
    <w:name w:val="Nadpis 3 Char"/>
    <w:basedOn w:val="Standardnpsmoodstavce"/>
    <w:link w:val="Nadpis3"/>
    <w:uiPriority w:val="9"/>
    <w:rsid w:val="008B6151"/>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9539002">
      <w:bodyDiv w:val="1"/>
      <w:marLeft w:val="0"/>
      <w:marRight w:val="0"/>
      <w:marTop w:val="0"/>
      <w:marBottom w:val="0"/>
      <w:divBdr>
        <w:top w:val="none" w:sz="0" w:space="0" w:color="auto"/>
        <w:left w:val="none" w:sz="0" w:space="0" w:color="auto"/>
        <w:bottom w:val="none" w:sz="0" w:space="0" w:color="auto"/>
        <w:right w:val="none" w:sz="0" w:space="0" w:color="auto"/>
      </w:divBdr>
      <w:divsChild>
        <w:div w:id="2079866322">
          <w:marLeft w:val="0"/>
          <w:marRight w:val="0"/>
          <w:marTop w:val="0"/>
          <w:marBottom w:val="0"/>
          <w:divBdr>
            <w:top w:val="none" w:sz="0" w:space="0" w:color="auto"/>
            <w:left w:val="none" w:sz="0" w:space="0" w:color="auto"/>
            <w:bottom w:val="none" w:sz="0" w:space="0" w:color="auto"/>
            <w:right w:val="none" w:sz="0" w:space="0" w:color="auto"/>
          </w:divBdr>
        </w:div>
        <w:div w:id="1264267030">
          <w:marLeft w:val="0"/>
          <w:marRight w:val="0"/>
          <w:marTop w:val="0"/>
          <w:marBottom w:val="0"/>
          <w:divBdr>
            <w:top w:val="none" w:sz="0" w:space="0" w:color="auto"/>
            <w:left w:val="none" w:sz="0" w:space="0" w:color="auto"/>
            <w:bottom w:val="none" w:sz="0" w:space="0" w:color="auto"/>
            <w:right w:val="none" w:sz="0" w:space="0" w:color="auto"/>
          </w:divBdr>
        </w:div>
        <w:div w:id="190608130">
          <w:marLeft w:val="0"/>
          <w:marRight w:val="0"/>
          <w:marTop w:val="0"/>
          <w:marBottom w:val="0"/>
          <w:divBdr>
            <w:top w:val="none" w:sz="0" w:space="0" w:color="auto"/>
            <w:left w:val="none" w:sz="0" w:space="0" w:color="auto"/>
            <w:bottom w:val="none" w:sz="0" w:space="0" w:color="auto"/>
            <w:right w:val="none" w:sz="0" w:space="0" w:color="auto"/>
          </w:divBdr>
        </w:div>
        <w:div w:id="1204169907">
          <w:marLeft w:val="0"/>
          <w:marRight w:val="0"/>
          <w:marTop w:val="0"/>
          <w:marBottom w:val="0"/>
          <w:divBdr>
            <w:top w:val="none" w:sz="0" w:space="0" w:color="auto"/>
            <w:left w:val="none" w:sz="0" w:space="0" w:color="auto"/>
            <w:bottom w:val="none" w:sz="0" w:space="0" w:color="auto"/>
            <w:right w:val="none" w:sz="0" w:space="0" w:color="auto"/>
          </w:divBdr>
        </w:div>
        <w:div w:id="444540250">
          <w:marLeft w:val="0"/>
          <w:marRight w:val="0"/>
          <w:marTop w:val="0"/>
          <w:marBottom w:val="0"/>
          <w:divBdr>
            <w:top w:val="none" w:sz="0" w:space="0" w:color="auto"/>
            <w:left w:val="none" w:sz="0" w:space="0" w:color="auto"/>
            <w:bottom w:val="none" w:sz="0" w:space="0" w:color="auto"/>
            <w:right w:val="none" w:sz="0" w:space="0" w:color="auto"/>
          </w:divBdr>
        </w:div>
        <w:div w:id="1274826124">
          <w:marLeft w:val="0"/>
          <w:marRight w:val="0"/>
          <w:marTop w:val="0"/>
          <w:marBottom w:val="0"/>
          <w:divBdr>
            <w:top w:val="none" w:sz="0" w:space="0" w:color="auto"/>
            <w:left w:val="none" w:sz="0" w:space="0" w:color="auto"/>
            <w:bottom w:val="none" w:sz="0" w:space="0" w:color="auto"/>
            <w:right w:val="none" w:sz="0" w:space="0" w:color="auto"/>
          </w:divBdr>
        </w:div>
        <w:div w:id="1496146054">
          <w:marLeft w:val="0"/>
          <w:marRight w:val="0"/>
          <w:marTop w:val="0"/>
          <w:marBottom w:val="0"/>
          <w:divBdr>
            <w:top w:val="none" w:sz="0" w:space="0" w:color="auto"/>
            <w:left w:val="none" w:sz="0" w:space="0" w:color="auto"/>
            <w:bottom w:val="none" w:sz="0" w:space="0" w:color="auto"/>
            <w:right w:val="none" w:sz="0" w:space="0" w:color="auto"/>
          </w:divBdr>
        </w:div>
        <w:div w:id="1880124394">
          <w:marLeft w:val="0"/>
          <w:marRight w:val="0"/>
          <w:marTop w:val="0"/>
          <w:marBottom w:val="0"/>
          <w:divBdr>
            <w:top w:val="none" w:sz="0" w:space="0" w:color="auto"/>
            <w:left w:val="none" w:sz="0" w:space="0" w:color="auto"/>
            <w:bottom w:val="none" w:sz="0" w:space="0" w:color="auto"/>
            <w:right w:val="none" w:sz="0" w:space="0" w:color="auto"/>
          </w:divBdr>
        </w:div>
        <w:div w:id="1536842233">
          <w:marLeft w:val="0"/>
          <w:marRight w:val="0"/>
          <w:marTop w:val="0"/>
          <w:marBottom w:val="0"/>
          <w:divBdr>
            <w:top w:val="none" w:sz="0" w:space="0" w:color="auto"/>
            <w:left w:val="none" w:sz="0" w:space="0" w:color="auto"/>
            <w:bottom w:val="none" w:sz="0" w:space="0" w:color="auto"/>
            <w:right w:val="none" w:sz="0" w:space="0" w:color="auto"/>
          </w:divBdr>
        </w:div>
        <w:div w:id="1880780142">
          <w:marLeft w:val="0"/>
          <w:marRight w:val="0"/>
          <w:marTop w:val="0"/>
          <w:marBottom w:val="0"/>
          <w:divBdr>
            <w:top w:val="none" w:sz="0" w:space="0" w:color="auto"/>
            <w:left w:val="none" w:sz="0" w:space="0" w:color="auto"/>
            <w:bottom w:val="none" w:sz="0" w:space="0" w:color="auto"/>
            <w:right w:val="none" w:sz="0" w:space="0" w:color="auto"/>
          </w:divBdr>
        </w:div>
        <w:div w:id="991713499">
          <w:marLeft w:val="0"/>
          <w:marRight w:val="0"/>
          <w:marTop w:val="0"/>
          <w:marBottom w:val="0"/>
          <w:divBdr>
            <w:top w:val="none" w:sz="0" w:space="0" w:color="auto"/>
            <w:left w:val="none" w:sz="0" w:space="0" w:color="auto"/>
            <w:bottom w:val="none" w:sz="0" w:space="0" w:color="auto"/>
            <w:right w:val="none" w:sz="0" w:space="0" w:color="auto"/>
          </w:divBdr>
        </w:div>
        <w:div w:id="1254122314">
          <w:marLeft w:val="0"/>
          <w:marRight w:val="0"/>
          <w:marTop w:val="0"/>
          <w:marBottom w:val="0"/>
          <w:divBdr>
            <w:top w:val="none" w:sz="0" w:space="0" w:color="auto"/>
            <w:left w:val="none" w:sz="0" w:space="0" w:color="auto"/>
            <w:bottom w:val="none" w:sz="0" w:space="0" w:color="auto"/>
            <w:right w:val="none" w:sz="0" w:space="0" w:color="auto"/>
          </w:divBdr>
        </w:div>
        <w:div w:id="1357852315">
          <w:marLeft w:val="0"/>
          <w:marRight w:val="0"/>
          <w:marTop w:val="0"/>
          <w:marBottom w:val="0"/>
          <w:divBdr>
            <w:top w:val="none" w:sz="0" w:space="0" w:color="auto"/>
            <w:left w:val="none" w:sz="0" w:space="0" w:color="auto"/>
            <w:bottom w:val="none" w:sz="0" w:space="0" w:color="auto"/>
            <w:right w:val="none" w:sz="0" w:space="0" w:color="auto"/>
          </w:divBdr>
        </w:div>
        <w:div w:id="171588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2413</Words>
  <Characters>14243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Síbová Marcela</dc:creator>
  <cp:keywords/>
  <dc:description/>
  <cp:lastModifiedBy>Síbová Marcela</cp:lastModifiedBy>
  <cp:revision>1</cp:revision>
  <dcterms:created xsi:type="dcterms:W3CDTF">2020-08-06T09:54:00Z</dcterms:created>
  <dcterms:modified xsi:type="dcterms:W3CDTF">2020-08-06T09:56:00Z</dcterms:modified>
</cp:coreProperties>
</file>