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218" w:rsidRDefault="00C01218" w:rsidP="00C01218">
      <w:pPr>
        <w:jc w:val="center"/>
        <w:rPr>
          <w:b/>
          <w:sz w:val="28"/>
          <w:szCs w:val="28"/>
          <w:u w:val="single"/>
        </w:rPr>
      </w:pPr>
      <w:r>
        <w:rPr>
          <w:b/>
          <w:sz w:val="28"/>
          <w:szCs w:val="28"/>
          <w:u w:val="single"/>
        </w:rPr>
        <w:t xml:space="preserve">Stanovisko k §11 zákona č. 134/2016 Sb., o zadávání veřejných zakázek </w:t>
      </w:r>
    </w:p>
    <w:p w:rsidR="00C01218" w:rsidRDefault="00C01218" w:rsidP="00C01218">
      <w:pPr>
        <w:pStyle w:val="Default"/>
      </w:pPr>
    </w:p>
    <w:p w:rsidR="00C01218" w:rsidRDefault="00C01218" w:rsidP="00C01218">
      <w:pPr>
        <w:pStyle w:val="Default"/>
        <w:jc w:val="center"/>
        <w:rPr>
          <w:b/>
          <w:bCs/>
          <w:sz w:val="22"/>
          <w:szCs w:val="22"/>
        </w:rPr>
      </w:pPr>
      <w:r>
        <w:rPr>
          <w:b/>
          <w:bCs/>
          <w:sz w:val="22"/>
          <w:szCs w:val="22"/>
        </w:rPr>
        <w:t>Vertikální spolupráce</w:t>
      </w:r>
    </w:p>
    <w:p w:rsidR="00C01218" w:rsidRDefault="00C01218" w:rsidP="00C01218">
      <w:pPr>
        <w:pStyle w:val="Default"/>
        <w:jc w:val="center"/>
        <w:rPr>
          <w:sz w:val="22"/>
          <w:szCs w:val="22"/>
        </w:rPr>
      </w:pPr>
    </w:p>
    <w:p w:rsidR="00C01218" w:rsidRDefault="00C01218" w:rsidP="00C01218">
      <w:pPr>
        <w:pStyle w:val="Default"/>
        <w:jc w:val="both"/>
        <w:rPr>
          <w:sz w:val="22"/>
          <w:szCs w:val="22"/>
        </w:rPr>
      </w:pPr>
      <w:r>
        <w:rPr>
          <w:sz w:val="22"/>
          <w:szCs w:val="22"/>
        </w:rPr>
        <w:t xml:space="preserve">Zákon č. 134/2016 Sb., o zadávání veřejných zakázek (dále jen „zákon“), v § 11 odst. 1 stanoví, že </w:t>
      </w:r>
      <w:r>
        <w:rPr>
          <w:sz w:val="22"/>
          <w:szCs w:val="22"/>
          <w:u w:val="single"/>
        </w:rPr>
        <w:t>za zadání veřejné zakázky se nepovažuje</w:t>
      </w:r>
      <w:r>
        <w:rPr>
          <w:sz w:val="22"/>
          <w:szCs w:val="22"/>
        </w:rPr>
        <w:t xml:space="preserve"> uzavření smlouvy, kterou uzavírá veřejný zadavatel s jinou právnickou osobou jako dodavatelem, pokud: </w:t>
      </w:r>
    </w:p>
    <w:p w:rsidR="00C01218" w:rsidRDefault="00C01218" w:rsidP="00C01218">
      <w:pPr>
        <w:pStyle w:val="Default"/>
        <w:jc w:val="both"/>
        <w:rPr>
          <w:sz w:val="22"/>
          <w:szCs w:val="22"/>
        </w:rPr>
      </w:pPr>
      <w:r>
        <w:rPr>
          <w:sz w:val="22"/>
          <w:szCs w:val="22"/>
        </w:rPr>
        <w:t xml:space="preserve">a) sám, nebo společně s jinými veřejnými zadavateli ovládá tuto osobu obdobně jako své vnitřní organizační jednotky, </w:t>
      </w:r>
    </w:p>
    <w:p w:rsidR="00C01218" w:rsidRDefault="00C01218" w:rsidP="00C01218">
      <w:pPr>
        <w:pStyle w:val="Default"/>
        <w:jc w:val="both"/>
        <w:rPr>
          <w:sz w:val="22"/>
          <w:szCs w:val="22"/>
        </w:rPr>
      </w:pPr>
      <w:r>
        <w:rPr>
          <w:sz w:val="22"/>
          <w:szCs w:val="22"/>
        </w:rPr>
        <w:t xml:space="preserve">b) v takto ovládané osobě nemá majetkovou účast jiná osoba než ovládající veřejný zadavatel, nebo ovládající veřejní zadavatelé a </w:t>
      </w:r>
    </w:p>
    <w:p w:rsidR="00C01218" w:rsidRDefault="00C01218" w:rsidP="00C01218">
      <w:pPr>
        <w:pStyle w:val="Default"/>
        <w:jc w:val="both"/>
        <w:rPr>
          <w:sz w:val="22"/>
          <w:szCs w:val="22"/>
        </w:rPr>
      </w:pPr>
      <w:r>
        <w:rPr>
          <w:sz w:val="22"/>
          <w:szCs w:val="22"/>
        </w:rPr>
        <w:t xml:space="preserve">c) více než 80 % celkové činnosti takto ovládané osoby je prováděno při plnění úkolů, které jí byly svěřeny ovládajícím veřejným zadavatelem, nebo ovládajícími veřejnými zadavateli, nebo jinými právnickými osobami, které ovládající veřejný zadavatel nebo veřejní zadavatelé rovněž ovládají jako své vnitřní organizační jednotky. </w:t>
      </w:r>
    </w:p>
    <w:p w:rsidR="00C01218" w:rsidRDefault="00C01218" w:rsidP="00C01218">
      <w:pPr>
        <w:pStyle w:val="Default"/>
        <w:jc w:val="both"/>
        <w:rPr>
          <w:sz w:val="22"/>
          <w:szCs w:val="22"/>
        </w:rPr>
      </w:pPr>
    </w:p>
    <w:p w:rsidR="00C01218" w:rsidRDefault="00C01218" w:rsidP="00C01218">
      <w:pPr>
        <w:pStyle w:val="Default"/>
        <w:jc w:val="both"/>
        <w:rPr>
          <w:sz w:val="22"/>
          <w:szCs w:val="22"/>
        </w:rPr>
      </w:pPr>
    </w:p>
    <w:p w:rsidR="00C01218" w:rsidRDefault="00C01218" w:rsidP="00C01218">
      <w:pPr>
        <w:pStyle w:val="Default"/>
        <w:jc w:val="both"/>
        <w:rPr>
          <w:sz w:val="22"/>
          <w:szCs w:val="22"/>
        </w:rPr>
      </w:pPr>
      <w:r>
        <w:rPr>
          <w:sz w:val="22"/>
          <w:szCs w:val="22"/>
          <w:u w:val="single"/>
        </w:rPr>
        <w:t>Splnění jednotlivých podmínek</w:t>
      </w:r>
      <w:r>
        <w:rPr>
          <w:sz w:val="22"/>
          <w:szCs w:val="22"/>
        </w:rPr>
        <w:t xml:space="preserve">: </w:t>
      </w:r>
    </w:p>
    <w:p w:rsidR="00C01218" w:rsidRDefault="00C01218" w:rsidP="00C01218">
      <w:pPr>
        <w:pStyle w:val="Default"/>
        <w:jc w:val="both"/>
        <w:rPr>
          <w:sz w:val="22"/>
          <w:szCs w:val="22"/>
        </w:rPr>
      </w:pPr>
      <w:r>
        <w:rPr>
          <w:sz w:val="22"/>
          <w:szCs w:val="22"/>
        </w:rPr>
        <w:t xml:space="preserve">Ad a) Veřejný zadavatel ovládá právnickou osobu obdobně jako své vnitřní organizační jednotky, pokud má rozhodující vliv na strategické cíle a zároveň na významná rozhodnutí ovládané právnické osoby. </w:t>
      </w:r>
    </w:p>
    <w:p w:rsidR="00C01218" w:rsidRDefault="00C01218" w:rsidP="00C01218">
      <w:pPr>
        <w:pStyle w:val="Default"/>
        <w:jc w:val="both"/>
        <w:rPr>
          <w:sz w:val="22"/>
          <w:szCs w:val="22"/>
        </w:rPr>
      </w:pPr>
    </w:p>
    <w:p w:rsidR="00C01218" w:rsidRDefault="00C01218" w:rsidP="00C01218">
      <w:pPr>
        <w:pStyle w:val="Default"/>
        <w:jc w:val="both"/>
        <w:rPr>
          <w:sz w:val="22"/>
          <w:szCs w:val="22"/>
        </w:rPr>
      </w:pPr>
      <w:r>
        <w:rPr>
          <w:sz w:val="22"/>
          <w:szCs w:val="22"/>
        </w:rPr>
        <w:t xml:space="preserve">Ad b) Veřejný zadavatel musí mít v ovládané osobě 100% majetkovou účast. Vyloučena je jakákoli přímá majetková účast jiné osoby na ovládané právnické osobě. </w:t>
      </w:r>
    </w:p>
    <w:p w:rsidR="00C01218" w:rsidRDefault="00C01218" w:rsidP="00C01218">
      <w:pPr>
        <w:pStyle w:val="Default"/>
        <w:jc w:val="both"/>
        <w:rPr>
          <w:sz w:val="22"/>
          <w:szCs w:val="22"/>
        </w:rPr>
      </w:pPr>
    </w:p>
    <w:p w:rsidR="00C01218" w:rsidRDefault="00C01218" w:rsidP="00C01218">
      <w:pPr>
        <w:pStyle w:val="Default"/>
        <w:jc w:val="both"/>
        <w:rPr>
          <w:color w:val="auto"/>
          <w:sz w:val="22"/>
          <w:szCs w:val="22"/>
        </w:rPr>
      </w:pPr>
      <w:r>
        <w:rPr>
          <w:sz w:val="22"/>
          <w:szCs w:val="22"/>
        </w:rPr>
        <w:t xml:space="preserve">Ad c) Činnost ovládané osoby musí být vykonávána na základě úkolů, které jí jsou svěřeny ovládajícím veřejným zadavatelem. </w:t>
      </w:r>
      <w:r>
        <w:rPr>
          <w:color w:val="auto"/>
          <w:sz w:val="22"/>
          <w:szCs w:val="22"/>
        </w:rPr>
        <w:t xml:space="preserve">Platí přitom, že ovládající veřejný zadavatel nemusí být beneficientem této činnosti, ani nemusí tuto činnost přímo hradit (tzn., může být hrazena i z jiných zdrojů než jen od ovládajícího veřejného zadavatele). </w:t>
      </w:r>
    </w:p>
    <w:p w:rsidR="00C01218" w:rsidRDefault="00C01218" w:rsidP="00C01218">
      <w:pPr>
        <w:pStyle w:val="Default"/>
        <w:jc w:val="both"/>
        <w:rPr>
          <w:color w:val="auto"/>
          <w:sz w:val="22"/>
          <w:szCs w:val="22"/>
        </w:rPr>
      </w:pPr>
    </w:p>
    <w:p w:rsidR="00C01218" w:rsidRDefault="00C01218" w:rsidP="00C01218">
      <w:pPr>
        <w:pStyle w:val="Default"/>
        <w:jc w:val="both"/>
        <w:rPr>
          <w:sz w:val="22"/>
          <w:szCs w:val="22"/>
        </w:rPr>
      </w:pPr>
      <w:r>
        <w:rPr>
          <w:sz w:val="22"/>
          <w:szCs w:val="22"/>
          <w:u w:val="single"/>
        </w:rPr>
        <w:t>Uvedené ustanovení umožňuje za splnění stanovených podmínek uzavírat smlouvy mezi Ústeckým krajem a jím zřízenou příspěvkovou organizací bez nutnosti realizovat zadávací či výběrové řízení.</w:t>
      </w:r>
    </w:p>
    <w:p w:rsidR="00C01218" w:rsidRDefault="00C01218" w:rsidP="00C01218">
      <w:pPr>
        <w:pStyle w:val="Default"/>
        <w:jc w:val="both"/>
        <w:rPr>
          <w:sz w:val="22"/>
          <w:szCs w:val="22"/>
          <w:u w:val="single"/>
        </w:rPr>
      </w:pPr>
      <w:r>
        <w:rPr>
          <w:sz w:val="22"/>
          <w:szCs w:val="22"/>
          <w:u w:val="single"/>
        </w:rPr>
        <w:t xml:space="preserve">Posouzení splnění výše uvedených podmínek musí být provedeno vždy individuálně před uzavřením každé smlouvy na základě vertikální spolupráce. </w:t>
      </w:r>
    </w:p>
    <w:p w:rsidR="00C01218" w:rsidRDefault="00C01218" w:rsidP="00C01218">
      <w:pPr>
        <w:pStyle w:val="Default"/>
        <w:jc w:val="both"/>
        <w:rPr>
          <w:sz w:val="22"/>
          <w:szCs w:val="22"/>
        </w:rPr>
      </w:pPr>
    </w:p>
    <w:p w:rsidR="00C01218" w:rsidRDefault="00C01218" w:rsidP="00C01218">
      <w:pPr>
        <w:pStyle w:val="Default"/>
        <w:jc w:val="both"/>
        <w:rPr>
          <w:sz w:val="22"/>
          <w:szCs w:val="22"/>
        </w:rPr>
      </w:pPr>
      <w:r>
        <w:rPr>
          <w:sz w:val="22"/>
          <w:szCs w:val="22"/>
        </w:rPr>
        <w:t xml:space="preserve">Ve vztahu mezi Ústeckým krajem a jeho příspěvkovými organizacemi by však podmínky měly být naplněny v zásadě vždy. Ústecký kraj má rozhodující vliv na strategické cíle a zároveň na významná rozhodnutí svých příspěvkových organizací a zároveň, v příspěvkových organizacích nemají majetkovou účast jiné osoby a veškerá </w:t>
      </w:r>
      <w:r w:rsidR="00371483">
        <w:rPr>
          <w:sz w:val="22"/>
          <w:szCs w:val="22"/>
        </w:rPr>
        <w:t xml:space="preserve">činnost </w:t>
      </w:r>
      <w:r>
        <w:rPr>
          <w:color w:val="auto"/>
          <w:sz w:val="22"/>
          <w:szCs w:val="22"/>
        </w:rPr>
        <w:t>(více než 80% činnosti</w:t>
      </w:r>
      <w:bookmarkStart w:id="0" w:name="_GoBack"/>
      <w:bookmarkEnd w:id="0"/>
      <w:r>
        <w:rPr>
          <w:color w:val="auto"/>
          <w:sz w:val="22"/>
          <w:szCs w:val="22"/>
        </w:rPr>
        <w:t xml:space="preserve"> </w:t>
      </w:r>
      <w:r>
        <w:rPr>
          <w:sz w:val="22"/>
          <w:szCs w:val="22"/>
        </w:rPr>
        <w:t xml:space="preserve">příspěvkových organizací by měla být vykonávána na základě úkolů, které jim jsou svěřeny zřizovatelem. </w:t>
      </w:r>
    </w:p>
    <w:p w:rsidR="00C01218" w:rsidRDefault="00C01218" w:rsidP="00C01218">
      <w:pPr>
        <w:pStyle w:val="Default"/>
        <w:jc w:val="both"/>
        <w:rPr>
          <w:sz w:val="22"/>
          <w:szCs w:val="22"/>
        </w:rPr>
      </w:pPr>
    </w:p>
    <w:p w:rsidR="00C01218" w:rsidRDefault="00C01218" w:rsidP="00C01218">
      <w:pPr>
        <w:pStyle w:val="Default"/>
        <w:jc w:val="both"/>
        <w:rPr>
          <w:sz w:val="22"/>
          <w:szCs w:val="22"/>
        </w:rPr>
      </w:pPr>
      <w:r>
        <w:rPr>
          <w:sz w:val="22"/>
          <w:szCs w:val="22"/>
        </w:rPr>
        <w:t xml:space="preserve">Zákon dále dle § 11 odst. 4 písm. b) stanoví, že za zadání veřejné zakázky se nepovažují ani případy, kdy právnická osoba ovládaná veřejným zadavatelem dle odst. 1 písm. a) § 11 zákona, uzavře smlouvu s dodavatelem, v němž nemá přímou majetkovou účast žádná soukromá osoba a který je jinou právnickou osobou ovládanou tímtéž veřejným zadavatelem. </w:t>
      </w:r>
    </w:p>
    <w:p w:rsidR="00C01218" w:rsidRDefault="00C01218" w:rsidP="00C01218">
      <w:pPr>
        <w:pStyle w:val="Default"/>
        <w:jc w:val="both"/>
        <w:rPr>
          <w:sz w:val="22"/>
          <w:szCs w:val="22"/>
          <w:u w:val="single"/>
        </w:rPr>
      </w:pPr>
      <w:r>
        <w:rPr>
          <w:sz w:val="22"/>
          <w:szCs w:val="22"/>
          <w:u w:val="single"/>
        </w:rPr>
        <w:t>Uvedené ustanovení umožňuje za splnění stanovených podmínek uzavírat smlouvy i mezi jednotlivými příspěvkovými organizacemi Ústeckého kraje bez nutnosti realizovat zadávací či výběrové řízení.</w:t>
      </w:r>
      <w:r>
        <w:rPr>
          <w:sz w:val="22"/>
          <w:szCs w:val="22"/>
        </w:rPr>
        <w:t xml:space="preserve"> </w:t>
      </w:r>
      <w:r>
        <w:rPr>
          <w:sz w:val="22"/>
          <w:szCs w:val="22"/>
          <w:u w:val="single"/>
        </w:rPr>
        <w:t>Posouzení splnění uvedených podmínek musí být provedeno vždy individuálně před uzavřením každé smlouvy na základě vertikální spolupráce.</w:t>
      </w:r>
      <w:r>
        <w:rPr>
          <w:sz w:val="22"/>
          <w:szCs w:val="22"/>
        </w:rPr>
        <w:t xml:space="preserve"> </w:t>
      </w:r>
    </w:p>
    <w:p w:rsidR="00C01218" w:rsidRDefault="00C01218" w:rsidP="00C01218">
      <w:pPr>
        <w:pStyle w:val="Default"/>
        <w:jc w:val="both"/>
        <w:rPr>
          <w:sz w:val="22"/>
          <w:szCs w:val="22"/>
          <w:u w:val="single"/>
        </w:rPr>
      </w:pPr>
    </w:p>
    <w:p w:rsidR="00C01218" w:rsidRDefault="00C01218" w:rsidP="00C01218">
      <w:pPr>
        <w:pStyle w:val="Default"/>
        <w:jc w:val="both"/>
        <w:rPr>
          <w:sz w:val="22"/>
          <w:szCs w:val="22"/>
        </w:rPr>
      </w:pPr>
      <w:r>
        <w:rPr>
          <w:sz w:val="22"/>
          <w:szCs w:val="22"/>
        </w:rPr>
        <w:t xml:space="preserve">Ve vztahu mezi jednotlivými příspěvkovými organizacemi Ústeckého kraje by však podmínky měly být naplněny v zásadě vždy. </w:t>
      </w:r>
    </w:p>
    <w:p w:rsidR="00C01218" w:rsidRDefault="00C01218" w:rsidP="00C01218">
      <w:pPr>
        <w:pStyle w:val="Default"/>
        <w:pageBreakBefore/>
        <w:jc w:val="both"/>
        <w:rPr>
          <w:sz w:val="22"/>
          <w:szCs w:val="22"/>
          <w:u w:val="single"/>
        </w:rPr>
      </w:pPr>
      <w:r>
        <w:rPr>
          <w:sz w:val="22"/>
          <w:szCs w:val="22"/>
          <w:u w:val="single"/>
        </w:rPr>
        <w:lastRenderedPageBreak/>
        <w:t xml:space="preserve">Výše uvedený postup je možné uplatnit pro zakázky podlimitní, nadlimitní i pro zakázky malého rozsahu.  </w:t>
      </w:r>
    </w:p>
    <w:p w:rsidR="00C01218" w:rsidRDefault="00C01218" w:rsidP="00C01218">
      <w:pPr>
        <w:spacing w:before="60" w:after="60"/>
        <w:jc w:val="both"/>
        <w:rPr>
          <w:bCs/>
        </w:rPr>
      </w:pPr>
      <w:r>
        <w:rPr>
          <w:bCs/>
        </w:rPr>
        <w:t xml:space="preserve">U smluv uzavřených na základě vertikální spolupráce nejde o zadání veřejné zakázky, takže se na ně Směrnice S-09/2018 Pravidla pro zadávání veřejných zakázek Ústeckým krajem a jím zřizovanými příspěvkovými organizacemi nevztahuje. </w:t>
      </w:r>
    </w:p>
    <w:p w:rsidR="00C01218" w:rsidRDefault="00C01218" w:rsidP="00C01218">
      <w:pPr>
        <w:spacing w:before="60" w:after="60"/>
        <w:jc w:val="both"/>
      </w:pPr>
      <w:r>
        <w:rPr>
          <w:b/>
          <w:bCs/>
        </w:rPr>
        <w:t>Avšak, n</w:t>
      </w:r>
      <w:r>
        <w:rPr>
          <w:b/>
        </w:rPr>
        <w:t>a smlouvy uzavřené na základě vertikální spolupráce dopadá povinnost uveřejnění v Registru smluv.</w:t>
      </w:r>
      <w:r>
        <w:t xml:space="preserve"> </w:t>
      </w:r>
    </w:p>
    <w:p w:rsidR="00C01218" w:rsidRDefault="00C01218" w:rsidP="00C01218">
      <w:pPr>
        <w:pStyle w:val="Default"/>
        <w:jc w:val="both"/>
        <w:rPr>
          <w:sz w:val="22"/>
          <w:szCs w:val="22"/>
        </w:rPr>
      </w:pPr>
    </w:p>
    <w:p w:rsidR="00C01218" w:rsidRDefault="00C01218" w:rsidP="00C01218">
      <w:pPr>
        <w:pStyle w:val="Default"/>
        <w:jc w:val="both"/>
        <w:rPr>
          <w:sz w:val="22"/>
          <w:szCs w:val="22"/>
        </w:rPr>
      </w:pPr>
    </w:p>
    <w:p w:rsidR="00C01218" w:rsidRDefault="00C01218" w:rsidP="00C01218">
      <w:pPr>
        <w:pStyle w:val="Default"/>
        <w:jc w:val="both"/>
        <w:rPr>
          <w:sz w:val="22"/>
          <w:szCs w:val="22"/>
        </w:rPr>
      </w:pPr>
      <w:r>
        <w:rPr>
          <w:sz w:val="22"/>
          <w:szCs w:val="22"/>
        </w:rPr>
        <w:t>Pro případ uzavírání smlouvy na základě vertikální spolupráce (tedy bez provedení zadávacího či výběrového řízení) lze doporučit včlenit do úvodních ustanovení smlouvy ustanovení odkazující na § 11 Zákona, ve kterém bude zároveň uvedeno, že jsou splněny podmínky vertikální spolupráce.</w:t>
      </w:r>
    </w:p>
    <w:p w:rsidR="00C01218" w:rsidRDefault="00C01218" w:rsidP="00C01218">
      <w:pPr>
        <w:pStyle w:val="Default"/>
        <w:jc w:val="both"/>
        <w:rPr>
          <w:sz w:val="22"/>
          <w:szCs w:val="22"/>
        </w:rPr>
      </w:pPr>
    </w:p>
    <w:p w:rsidR="00C01218" w:rsidRDefault="00C01218" w:rsidP="00C01218">
      <w:pPr>
        <w:pStyle w:val="Default"/>
        <w:jc w:val="both"/>
        <w:rPr>
          <w:sz w:val="22"/>
          <w:szCs w:val="22"/>
        </w:rPr>
      </w:pPr>
      <w:r>
        <w:rPr>
          <w:sz w:val="22"/>
          <w:szCs w:val="22"/>
        </w:rPr>
        <w:t xml:space="preserve"> </w:t>
      </w:r>
    </w:p>
    <w:p w:rsidR="00483138" w:rsidRDefault="00C01218" w:rsidP="00C01218">
      <w:r>
        <w:rPr>
          <w:i/>
          <w:iCs/>
        </w:rPr>
        <w:t>Smlouva/objednávka je uzavírána na základě vertikální spolupráce ve smyslu ustanovení § 11 zákona č. 134/2016 Sb., o zadávání veřejných zakázek, ve znění pozdějších předpisů, bez předchozího provedení zadávacího/výběrového řízení. Smluvní strany prohlašují, že jsou příspěvkovými organizacemi Ústeckého kraje, který je jejich ovládajícím zadavatelem, nemá v nich majetkovou účast žádná jiná osoba než Ústecký kraj a vykonávají více než 80% své činnosti při plnění úkolů svěřených Ústeckým krajem. (v případě smlouvy mezi Ústeckým krajem a p. o. postačí věta první)</w:t>
      </w:r>
    </w:p>
    <w:sectPr w:rsidR="00483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18"/>
    <w:rsid w:val="00371483"/>
    <w:rsid w:val="00483138"/>
    <w:rsid w:val="00C01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2FDA7-17F3-4A7E-9D54-19F37817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1218"/>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012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3880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Vorlíčková Eva</dc:creator>
  <cp:keywords/>
  <dc:description/>
  <cp:lastModifiedBy>Vorlíčková Eva</cp:lastModifiedBy>
  <cp:revision>2</cp:revision>
  <dcterms:created xsi:type="dcterms:W3CDTF">2019-02-14T07:03:00Z</dcterms:created>
  <dcterms:modified xsi:type="dcterms:W3CDTF">2019-02-14T07:05:00Z</dcterms:modified>
</cp:coreProperties>
</file>