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98A" w:rsidRDefault="00C3798A" w:rsidP="00C3798A">
      <w:pPr>
        <w:spacing w:after="120"/>
        <w:jc w:val="center"/>
        <w:rPr>
          <w:rFonts w:ascii="Arial" w:hAnsi="Arial" w:cs="Arial"/>
          <w:b/>
        </w:rPr>
      </w:pPr>
      <w:r w:rsidRPr="00C3798A">
        <w:rPr>
          <w:rFonts w:ascii="Arial" w:hAnsi="Arial" w:cs="Arial"/>
          <w:b/>
        </w:rPr>
        <w:t xml:space="preserve">DOTAZY </w:t>
      </w:r>
    </w:p>
    <w:p w:rsidR="00E4243A" w:rsidRPr="00C3798A" w:rsidRDefault="00E4243A" w:rsidP="004D1071">
      <w:pPr>
        <w:jc w:val="center"/>
        <w:rPr>
          <w:rFonts w:ascii="Arial" w:hAnsi="Arial" w:cs="Arial"/>
          <w:i/>
        </w:rPr>
      </w:pPr>
    </w:p>
    <w:p w:rsidR="000D67F8" w:rsidRPr="00D271CC" w:rsidRDefault="000D67F8" w:rsidP="00262F37">
      <w:pPr>
        <w:pStyle w:val="Odstavecseseznamem"/>
        <w:numPr>
          <w:ilvl w:val="0"/>
          <w:numId w:val="6"/>
        </w:numPr>
        <w:ind w:left="0"/>
        <w:contextualSpacing w:val="0"/>
        <w:jc w:val="both"/>
        <w:rPr>
          <w:rFonts w:ascii="Arial" w:hAnsi="Arial" w:cs="Arial"/>
          <w:i/>
          <w:color w:val="2E74B5" w:themeColor="accent1" w:themeShade="BF"/>
        </w:rPr>
      </w:pPr>
      <w:r w:rsidRPr="00C3798A">
        <w:rPr>
          <w:rFonts w:ascii="Arial" w:hAnsi="Arial" w:cs="Arial"/>
        </w:rPr>
        <w:t>Musí být KÚÚK předkládány výkazy práce za organizaci?</w:t>
      </w:r>
      <w:r w:rsidRPr="00C3798A">
        <w:rPr>
          <w:rFonts w:ascii="Arial" w:hAnsi="Arial" w:cs="Arial"/>
          <w:color w:val="2E74B5" w:themeColor="accent1" w:themeShade="BF"/>
        </w:rPr>
        <w:t xml:space="preserve"> </w:t>
      </w:r>
      <w:r w:rsidRPr="00D271CC">
        <w:rPr>
          <w:rFonts w:ascii="Arial" w:hAnsi="Arial" w:cs="Arial"/>
          <w:i/>
          <w:color w:val="2E74B5" w:themeColor="accent1" w:themeShade="BF"/>
        </w:rPr>
        <w:t>Výkazy práce nejsou požadovány (zpracovávají je pouze pracovníci kraje pro řídící orgán)</w:t>
      </w:r>
      <w:r w:rsidR="00845F75" w:rsidRPr="00D271CC">
        <w:rPr>
          <w:rFonts w:ascii="Arial" w:hAnsi="Arial" w:cs="Arial"/>
          <w:color w:val="2E74B5" w:themeColor="accent1" w:themeShade="BF"/>
        </w:rPr>
        <w:t>.</w:t>
      </w:r>
    </w:p>
    <w:p w:rsidR="000D67F8" w:rsidRPr="00D271CC" w:rsidRDefault="000D67F8" w:rsidP="00262F37">
      <w:pPr>
        <w:pStyle w:val="Odstavecseseznamem"/>
        <w:numPr>
          <w:ilvl w:val="0"/>
          <w:numId w:val="6"/>
        </w:numPr>
        <w:ind w:left="0"/>
        <w:contextualSpacing w:val="0"/>
        <w:jc w:val="both"/>
        <w:rPr>
          <w:rFonts w:ascii="Arial" w:hAnsi="Arial" w:cs="Arial"/>
          <w:i/>
          <w:color w:val="2E74B5" w:themeColor="accent1" w:themeShade="BF"/>
        </w:rPr>
      </w:pPr>
      <w:r w:rsidRPr="00C3798A">
        <w:rPr>
          <w:rFonts w:ascii="Arial" w:hAnsi="Arial" w:cs="Arial"/>
        </w:rPr>
        <w:t xml:space="preserve">Je možné změnit rozčlenění úvazků a přijmout pracovníka navíc? </w:t>
      </w:r>
      <w:r w:rsidRPr="00D271CC">
        <w:rPr>
          <w:rFonts w:ascii="Arial" w:hAnsi="Arial" w:cs="Arial"/>
          <w:i/>
          <w:color w:val="2E74B5" w:themeColor="accent1" w:themeShade="BF"/>
        </w:rPr>
        <w:t xml:space="preserve">Lze, z hlediska dodržení pověření je hlídáno dodržení celkového počtu úvazků a jejich poměru, tj. nepřímá péče 0,3 x 1 úvazek přímé péče). </w:t>
      </w:r>
    </w:p>
    <w:p w:rsidR="00C3798A" w:rsidRPr="00D271CC" w:rsidRDefault="000D67F8" w:rsidP="00262F37">
      <w:pPr>
        <w:pStyle w:val="Odstavecseseznamem"/>
        <w:numPr>
          <w:ilvl w:val="0"/>
          <w:numId w:val="6"/>
        </w:numPr>
        <w:ind w:left="0"/>
        <w:contextualSpacing w:val="0"/>
        <w:jc w:val="both"/>
        <w:rPr>
          <w:rFonts w:ascii="Arial" w:hAnsi="Arial" w:cs="Arial"/>
          <w:i/>
          <w:color w:val="2E74B5" w:themeColor="accent1" w:themeShade="BF"/>
        </w:rPr>
      </w:pPr>
      <w:r w:rsidRPr="00C3798A">
        <w:rPr>
          <w:rFonts w:ascii="Arial" w:hAnsi="Arial" w:cs="Arial"/>
        </w:rPr>
        <w:t xml:space="preserve">Lze klienta, který se nespáruje se systémem, zadat do systému „ručně“ s průkazným doložením, že s ním služba skutečně pracovala více, než 40 hodin? </w:t>
      </w:r>
      <w:r w:rsidRPr="00D271CC">
        <w:rPr>
          <w:rFonts w:ascii="Arial" w:hAnsi="Arial" w:cs="Arial"/>
          <w:i/>
          <w:color w:val="2E74B5" w:themeColor="accent1" w:themeShade="BF"/>
        </w:rPr>
        <w:t xml:space="preserve">Odpověď </w:t>
      </w:r>
      <w:r w:rsidR="001F1EDD" w:rsidRPr="00D271CC">
        <w:rPr>
          <w:rFonts w:ascii="Arial" w:hAnsi="Arial" w:cs="Arial"/>
          <w:i/>
          <w:color w:val="2E74B5" w:themeColor="accent1" w:themeShade="BF"/>
        </w:rPr>
        <w:t xml:space="preserve">– viz odpověď </w:t>
      </w:r>
      <w:r w:rsidR="00AC624B" w:rsidRPr="00D271CC">
        <w:rPr>
          <w:rFonts w:ascii="Arial" w:hAnsi="Arial" w:cs="Arial"/>
          <w:i/>
          <w:color w:val="2E74B5" w:themeColor="accent1" w:themeShade="BF"/>
        </w:rPr>
        <w:t xml:space="preserve">Ing. </w:t>
      </w:r>
      <w:r w:rsidR="001F1EDD" w:rsidRPr="00D271CC">
        <w:rPr>
          <w:rFonts w:ascii="Arial" w:hAnsi="Arial" w:cs="Arial"/>
          <w:i/>
          <w:color w:val="2E74B5" w:themeColor="accent1" w:themeShade="BF"/>
        </w:rPr>
        <w:t>Vrábela z MPSV –</w:t>
      </w:r>
      <w:r w:rsidR="00C3798A" w:rsidRPr="00D271CC">
        <w:rPr>
          <w:rFonts w:ascii="Arial" w:hAnsi="Arial" w:cs="Arial"/>
          <w:i/>
          <w:color w:val="2E74B5" w:themeColor="accent1" w:themeShade="BF"/>
        </w:rPr>
        <w:t xml:space="preserve"> systém ručního zadává</w:t>
      </w:r>
      <w:r w:rsidR="00AC624B" w:rsidRPr="00D271CC">
        <w:rPr>
          <w:rFonts w:ascii="Arial" w:hAnsi="Arial" w:cs="Arial"/>
          <w:i/>
          <w:color w:val="2E74B5" w:themeColor="accent1" w:themeShade="BF"/>
        </w:rPr>
        <w:t>ní osob bude možný, ale pouze v </w:t>
      </w:r>
      <w:r w:rsidR="00C3798A" w:rsidRPr="00D271CC">
        <w:rPr>
          <w:rFonts w:ascii="Arial" w:hAnsi="Arial" w:cs="Arial"/>
          <w:i/>
          <w:color w:val="2E74B5" w:themeColor="accent1" w:themeShade="BF"/>
        </w:rPr>
        <w:t>odůvodněných případech, kdy nedojde ke ztotožn</w:t>
      </w:r>
      <w:r w:rsidR="00AC624B" w:rsidRPr="00D271CC">
        <w:rPr>
          <w:rFonts w:ascii="Arial" w:hAnsi="Arial" w:cs="Arial"/>
          <w:i/>
          <w:color w:val="2E74B5" w:themeColor="accent1" w:themeShade="BF"/>
        </w:rPr>
        <w:t>ění  osoby (mělo by se jednat o </w:t>
      </w:r>
      <w:r w:rsidR="00C3798A" w:rsidRPr="00D271CC">
        <w:rPr>
          <w:rFonts w:ascii="Arial" w:hAnsi="Arial" w:cs="Arial"/>
          <w:i/>
          <w:color w:val="2E74B5" w:themeColor="accent1" w:themeShade="BF"/>
        </w:rPr>
        <w:t>jednotky osob), a to formou žádosti zaslané prostřednictvím depeše.</w:t>
      </w:r>
    </w:p>
    <w:p w:rsidR="000D67F8" w:rsidRPr="00D271CC" w:rsidRDefault="000D67F8" w:rsidP="00262F37">
      <w:pPr>
        <w:pStyle w:val="Odstavecseseznamem"/>
        <w:numPr>
          <w:ilvl w:val="0"/>
          <w:numId w:val="6"/>
        </w:numPr>
        <w:ind w:left="0"/>
        <w:contextualSpacing w:val="0"/>
        <w:jc w:val="both"/>
        <w:rPr>
          <w:rFonts w:ascii="Arial" w:hAnsi="Arial" w:cs="Arial"/>
          <w:i/>
          <w:color w:val="2E74B5" w:themeColor="accent1" w:themeShade="BF"/>
        </w:rPr>
      </w:pPr>
      <w:r w:rsidRPr="00C3798A">
        <w:rPr>
          <w:rFonts w:ascii="Arial" w:hAnsi="Arial" w:cs="Arial"/>
        </w:rPr>
        <w:t xml:space="preserve">Lze započíst do indikátoru 6 00 00 dva dospělé členy rodiny, se kterými se pracuje zároveň </w:t>
      </w:r>
      <w:r w:rsidR="0072665E">
        <w:rPr>
          <w:rFonts w:ascii="Arial" w:hAnsi="Arial" w:cs="Arial"/>
        </w:rPr>
        <w:br/>
      </w:r>
      <w:r w:rsidRPr="00C3798A">
        <w:rPr>
          <w:rFonts w:ascii="Arial" w:hAnsi="Arial" w:cs="Arial"/>
        </w:rPr>
        <w:t>a  podpora každého je více než 40h? (př. s matkou se řeší domácnost, škola apod., s otcem zaměstnání, exekuce</w:t>
      </w:r>
      <w:r w:rsidR="00523F60">
        <w:rPr>
          <w:rFonts w:ascii="Arial" w:hAnsi="Arial" w:cs="Arial"/>
        </w:rPr>
        <w:t>,…</w:t>
      </w:r>
      <w:r w:rsidRPr="00C3798A">
        <w:rPr>
          <w:rFonts w:ascii="Arial" w:hAnsi="Arial" w:cs="Arial"/>
        </w:rPr>
        <w:t xml:space="preserve">). </w:t>
      </w:r>
      <w:r w:rsidRPr="00D271CC">
        <w:rPr>
          <w:rFonts w:ascii="Arial" w:hAnsi="Arial" w:cs="Arial"/>
          <w:i/>
          <w:color w:val="2E74B5" w:themeColor="accent1" w:themeShade="BF"/>
        </w:rPr>
        <w:t xml:space="preserve">Do indikátoru se započítává 1 dospělá osoba, se kterou </w:t>
      </w:r>
      <w:r w:rsidR="0072665E">
        <w:rPr>
          <w:rFonts w:ascii="Arial" w:hAnsi="Arial" w:cs="Arial"/>
          <w:i/>
          <w:color w:val="2E74B5" w:themeColor="accent1" w:themeShade="BF"/>
        </w:rPr>
        <w:br/>
      </w:r>
      <w:r w:rsidRPr="00D271CC">
        <w:rPr>
          <w:rFonts w:ascii="Arial" w:hAnsi="Arial" w:cs="Arial"/>
          <w:i/>
          <w:color w:val="2E74B5" w:themeColor="accent1" w:themeShade="BF"/>
        </w:rPr>
        <w:t xml:space="preserve">je uzavřena smlouva (obvykle to bývá matka). Druhého dospělého člena rodiny, kterému byla poskytována vyšší, než bagatelní podpora, lze započíst pouze v případě, že s ním bude uzavřena samostatná smlouva.  Pokud bude mít podporu nižší, je započítán, stejně jako další členové rodiny, včetně dětí, do druhého indikátoru 6 70 10. </w:t>
      </w:r>
    </w:p>
    <w:p w:rsidR="000D67F8" w:rsidRPr="00B73275" w:rsidRDefault="000D67F8" w:rsidP="00262F37">
      <w:pPr>
        <w:pStyle w:val="Odstavecseseznamem"/>
        <w:numPr>
          <w:ilvl w:val="0"/>
          <w:numId w:val="6"/>
        </w:numPr>
        <w:ind w:left="0"/>
        <w:contextualSpacing w:val="0"/>
        <w:rPr>
          <w:rFonts w:ascii="Arial" w:hAnsi="Arial" w:cs="Arial"/>
          <w:i/>
          <w:color w:val="2E74B5" w:themeColor="accent1" w:themeShade="BF"/>
        </w:rPr>
      </w:pPr>
      <w:r w:rsidRPr="00C3798A">
        <w:rPr>
          <w:rFonts w:ascii="Arial" w:hAnsi="Arial" w:cs="Arial"/>
        </w:rPr>
        <w:t xml:space="preserve">Musí být ve smlouvě s pracovníky služby uvedeno, že je zaměstnán v rámci projektu? </w:t>
      </w:r>
      <w:r w:rsidR="00957CEF">
        <w:rPr>
          <w:rFonts w:ascii="Arial" w:hAnsi="Arial" w:cs="Arial"/>
          <w:i/>
          <w:color w:val="2E74B5" w:themeColor="accent1" w:themeShade="BF"/>
        </w:rPr>
        <w:t>Ano, uvést v náplni</w:t>
      </w:r>
      <w:r w:rsidR="00B73275" w:rsidRPr="00B73275">
        <w:rPr>
          <w:rFonts w:ascii="Arial" w:hAnsi="Arial" w:cs="Arial"/>
          <w:i/>
          <w:color w:val="2E74B5" w:themeColor="accent1" w:themeShade="BF"/>
        </w:rPr>
        <w:t xml:space="preserve"> práce, vyřešit dodatkem ke smlouvě. </w:t>
      </w:r>
    </w:p>
    <w:p w:rsidR="000D67F8" w:rsidRPr="00D271CC" w:rsidRDefault="000D67F8" w:rsidP="00262F37">
      <w:pPr>
        <w:pStyle w:val="Odstavecseseznamem"/>
        <w:numPr>
          <w:ilvl w:val="0"/>
          <w:numId w:val="6"/>
        </w:numPr>
        <w:ind w:left="0"/>
        <w:contextualSpacing w:val="0"/>
        <w:jc w:val="both"/>
        <w:rPr>
          <w:rFonts w:ascii="Arial" w:hAnsi="Arial" w:cs="Arial"/>
          <w:i/>
          <w:color w:val="2E74B5" w:themeColor="accent1" w:themeShade="BF"/>
        </w:rPr>
      </w:pPr>
      <w:r w:rsidRPr="00C3798A">
        <w:rPr>
          <w:rFonts w:ascii="Arial" w:hAnsi="Arial" w:cs="Arial"/>
        </w:rPr>
        <w:t>Je možné v rámci SAS realizovat předškolní klub?</w:t>
      </w:r>
      <w:r w:rsidR="00262F37">
        <w:rPr>
          <w:rFonts w:ascii="Arial" w:hAnsi="Arial" w:cs="Arial"/>
        </w:rPr>
        <w:t xml:space="preserve"> </w:t>
      </w:r>
      <w:r w:rsidR="00262F37" w:rsidRPr="00D271CC">
        <w:rPr>
          <w:rFonts w:ascii="Arial" w:hAnsi="Arial" w:cs="Arial"/>
          <w:i/>
          <w:color w:val="2E74B5" w:themeColor="accent1" w:themeShade="BF"/>
        </w:rPr>
        <w:t>Není základní činností služby.</w:t>
      </w:r>
    </w:p>
    <w:p w:rsidR="00597CBA" w:rsidRPr="00B73275" w:rsidRDefault="000D67F8" w:rsidP="00262F37">
      <w:pPr>
        <w:pStyle w:val="Odstavecseseznamem"/>
        <w:numPr>
          <w:ilvl w:val="0"/>
          <w:numId w:val="6"/>
        </w:numPr>
        <w:ind w:left="0"/>
        <w:contextualSpacing w:val="0"/>
        <w:jc w:val="both"/>
        <w:rPr>
          <w:rFonts w:ascii="Arial" w:hAnsi="Arial" w:cs="Arial"/>
          <w:i/>
          <w:color w:val="2E74B5" w:themeColor="accent1" w:themeShade="BF"/>
        </w:rPr>
      </w:pPr>
      <w:r w:rsidRPr="00C3798A">
        <w:rPr>
          <w:rFonts w:ascii="Arial" w:hAnsi="Arial" w:cs="Arial"/>
        </w:rPr>
        <w:t>Jak</w:t>
      </w:r>
      <w:r w:rsidR="00C3798A" w:rsidRPr="00C3798A">
        <w:rPr>
          <w:rFonts w:ascii="Arial" w:hAnsi="Arial" w:cs="Arial"/>
        </w:rPr>
        <w:t>ým způsobem a kdy</w:t>
      </w:r>
      <w:r w:rsidRPr="00C3798A">
        <w:rPr>
          <w:rFonts w:ascii="Arial" w:hAnsi="Arial" w:cs="Arial"/>
        </w:rPr>
        <w:t xml:space="preserve"> budou zasílány monitorovací listy organizacemi na Ústecký kraj?</w:t>
      </w:r>
      <w:r w:rsidR="00B92CB8">
        <w:rPr>
          <w:rFonts w:ascii="Arial" w:hAnsi="Arial" w:cs="Arial"/>
        </w:rPr>
        <w:t>(elektronicky, poštou, průběžně x s</w:t>
      </w:r>
      <w:r w:rsidR="00597CBA">
        <w:rPr>
          <w:rFonts w:ascii="Arial" w:hAnsi="Arial" w:cs="Arial"/>
        </w:rPr>
        <w:t>e</w:t>
      </w:r>
      <w:r w:rsidR="00B92CB8">
        <w:rPr>
          <w:rFonts w:ascii="Arial" w:hAnsi="Arial" w:cs="Arial"/>
        </w:rPr>
        <w:t xml:space="preserve"> </w:t>
      </w:r>
      <w:proofErr w:type="spellStart"/>
      <w:proofErr w:type="gramStart"/>
      <w:r w:rsidR="00597CBA">
        <w:rPr>
          <w:rFonts w:ascii="Arial" w:hAnsi="Arial" w:cs="Arial"/>
        </w:rPr>
        <w:t>ZoR</w:t>
      </w:r>
      <w:proofErr w:type="spellEnd"/>
      <w:proofErr w:type="gramEnd"/>
      <w:r w:rsidR="00B92CB8">
        <w:rPr>
          <w:rFonts w:ascii="Arial" w:hAnsi="Arial" w:cs="Arial"/>
        </w:rPr>
        <w:t>..)</w:t>
      </w:r>
      <w:r w:rsidR="00B73275">
        <w:rPr>
          <w:rFonts w:ascii="Arial" w:hAnsi="Arial" w:cs="Arial"/>
        </w:rPr>
        <w:t xml:space="preserve"> </w:t>
      </w:r>
      <w:r w:rsidR="00B73275">
        <w:rPr>
          <w:rFonts w:ascii="Arial" w:hAnsi="Arial" w:cs="Arial"/>
          <w:i/>
          <w:color w:val="2E74B5" w:themeColor="accent1" w:themeShade="BF"/>
        </w:rPr>
        <w:t>Datovou schránkou, poštou (rozhoduje razítko podatelny), průběžně (bude zpětná vazba, nejpozději do zpracování monitorovacích zpráv).</w:t>
      </w:r>
      <w:r w:rsidR="00B73275" w:rsidRPr="00B73275">
        <w:rPr>
          <w:rFonts w:ascii="Arial" w:hAnsi="Arial" w:cs="Arial"/>
          <w:i/>
          <w:color w:val="2E74B5" w:themeColor="accent1" w:themeShade="BF"/>
        </w:rPr>
        <w:t xml:space="preserve"> </w:t>
      </w:r>
      <w:r w:rsidR="00B73275">
        <w:rPr>
          <w:rFonts w:ascii="Arial" w:hAnsi="Arial" w:cs="Arial"/>
          <w:i/>
          <w:color w:val="2E74B5" w:themeColor="accent1" w:themeShade="BF"/>
        </w:rPr>
        <w:t xml:space="preserve">Pokud bude zasláno později, bude zaevidováno do dalšího období. </w:t>
      </w:r>
    </w:p>
    <w:p w:rsidR="00B92CB8" w:rsidRPr="00F25AC7" w:rsidRDefault="00597CBA" w:rsidP="00262F37">
      <w:pPr>
        <w:pStyle w:val="Odstavecseseznamem"/>
        <w:numPr>
          <w:ilvl w:val="0"/>
          <w:numId w:val="6"/>
        </w:numPr>
        <w:ind w:left="0"/>
        <w:contextualSpacing w:val="0"/>
        <w:jc w:val="both"/>
        <w:rPr>
          <w:rFonts w:ascii="Arial" w:hAnsi="Arial" w:cs="Arial"/>
          <w:color w:val="0070C0"/>
        </w:rPr>
      </w:pPr>
      <w:r>
        <w:rPr>
          <w:rFonts w:ascii="Arial" w:hAnsi="Arial" w:cs="Arial"/>
        </w:rPr>
        <w:t xml:space="preserve">Bude obsahovat </w:t>
      </w:r>
      <w:proofErr w:type="spellStart"/>
      <w:r>
        <w:rPr>
          <w:rFonts w:ascii="Arial" w:hAnsi="Arial" w:cs="Arial"/>
        </w:rPr>
        <w:t>ZoR</w:t>
      </w:r>
      <w:proofErr w:type="spellEnd"/>
      <w:r>
        <w:rPr>
          <w:rFonts w:ascii="Arial" w:hAnsi="Arial" w:cs="Arial"/>
        </w:rPr>
        <w:t xml:space="preserve"> </w:t>
      </w:r>
      <w:r w:rsidR="00523F60">
        <w:rPr>
          <w:rFonts w:ascii="Arial" w:hAnsi="Arial" w:cs="Arial"/>
        </w:rPr>
        <w:t>přílohy, a jaké</w:t>
      </w:r>
      <w:r>
        <w:rPr>
          <w:rFonts w:ascii="Arial" w:hAnsi="Arial" w:cs="Arial"/>
        </w:rPr>
        <w:t>?</w:t>
      </w:r>
      <w:r w:rsidR="000D67F8" w:rsidRPr="00C3798A">
        <w:rPr>
          <w:rFonts w:ascii="Arial" w:hAnsi="Arial" w:cs="Arial"/>
        </w:rPr>
        <w:t xml:space="preserve"> </w:t>
      </w:r>
      <w:r w:rsidR="00F25AC7" w:rsidRPr="00F25AC7">
        <w:rPr>
          <w:rFonts w:ascii="Arial" w:hAnsi="Arial" w:cs="Arial"/>
          <w:i/>
          <w:color w:val="0070C0"/>
        </w:rPr>
        <w:t>Přílohy A, B, C – vztahující se k indikátorům. Přílohy D, E – vztahující se k finanční části. Monitorovací list, v případě, že nebyl zaslán průběžně.</w:t>
      </w:r>
      <w:r w:rsidR="005F7586" w:rsidRPr="00F25AC7">
        <w:rPr>
          <w:rFonts w:ascii="Arial" w:hAnsi="Arial" w:cs="Arial"/>
          <w:i/>
          <w:color w:val="0070C0"/>
        </w:rPr>
        <w:t xml:space="preserve"> </w:t>
      </w:r>
    </w:p>
    <w:p w:rsidR="00B92CB8" w:rsidRPr="00D271CC" w:rsidRDefault="00B92CB8" w:rsidP="00262F37">
      <w:pPr>
        <w:pStyle w:val="Odstavecseseznamem"/>
        <w:numPr>
          <w:ilvl w:val="0"/>
          <w:numId w:val="6"/>
        </w:numPr>
        <w:ind w:left="0"/>
        <w:contextualSpacing w:val="0"/>
        <w:jc w:val="both"/>
        <w:rPr>
          <w:rFonts w:ascii="Arial" w:hAnsi="Arial" w:cs="Arial"/>
          <w:i/>
          <w:color w:val="2E74B5" w:themeColor="accent1" w:themeShade="BF"/>
        </w:rPr>
      </w:pPr>
      <w:r w:rsidRPr="00B92CB8">
        <w:rPr>
          <w:rFonts w:ascii="Arial" w:hAnsi="Arial" w:cs="Arial"/>
        </w:rPr>
        <w:t xml:space="preserve">Pokud klient dosáhne více, než 40h podpory a bude vyplněn a odeslán </w:t>
      </w:r>
      <w:proofErr w:type="spellStart"/>
      <w:r w:rsidRPr="00B92CB8">
        <w:rPr>
          <w:rFonts w:ascii="Arial" w:hAnsi="Arial" w:cs="Arial"/>
        </w:rPr>
        <w:t>monit</w:t>
      </w:r>
      <w:proofErr w:type="spellEnd"/>
      <w:r w:rsidRPr="00B92CB8">
        <w:rPr>
          <w:rFonts w:ascii="Arial" w:hAnsi="Arial" w:cs="Arial"/>
        </w:rPr>
        <w:t xml:space="preserve">. </w:t>
      </w:r>
      <w:r w:rsidR="00AC624B">
        <w:rPr>
          <w:rFonts w:ascii="Arial" w:hAnsi="Arial" w:cs="Arial"/>
        </w:rPr>
        <w:t>l</w:t>
      </w:r>
      <w:r w:rsidRPr="00B92CB8">
        <w:rPr>
          <w:rFonts w:ascii="Arial" w:hAnsi="Arial" w:cs="Arial"/>
        </w:rPr>
        <w:t xml:space="preserve">ist a nadále se s ním bude pracovat, příští </w:t>
      </w:r>
      <w:proofErr w:type="spellStart"/>
      <w:r w:rsidRPr="00B92CB8">
        <w:rPr>
          <w:rFonts w:ascii="Arial" w:hAnsi="Arial" w:cs="Arial"/>
        </w:rPr>
        <w:t>monit</w:t>
      </w:r>
      <w:proofErr w:type="spellEnd"/>
      <w:r w:rsidRPr="00B92CB8">
        <w:rPr>
          <w:rFonts w:ascii="Arial" w:hAnsi="Arial" w:cs="Arial"/>
        </w:rPr>
        <w:t xml:space="preserve">. období se k tomuto klientovi již nebude nic zasílat? </w:t>
      </w:r>
      <w:r w:rsidRPr="00D271CC">
        <w:rPr>
          <w:rFonts w:ascii="Arial" w:hAnsi="Arial" w:cs="Arial"/>
          <w:i/>
          <w:color w:val="2E74B5" w:themeColor="accent1" w:themeShade="BF"/>
        </w:rPr>
        <w:t xml:space="preserve">Ne, v rámci indikátoru 6 00 00 se každá podpořená osoba započítává pouze jednou.  </w:t>
      </w:r>
    </w:p>
    <w:p w:rsidR="000D67F8" w:rsidRPr="00D271CC" w:rsidRDefault="000D67F8" w:rsidP="00262F37">
      <w:pPr>
        <w:pStyle w:val="Odstavecseseznamem"/>
        <w:numPr>
          <w:ilvl w:val="0"/>
          <w:numId w:val="6"/>
        </w:numPr>
        <w:ind w:left="0"/>
        <w:contextualSpacing w:val="0"/>
        <w:jc w:val="both"/>
        <w:rPr>
          <w:rFonts w:ascii="Arial" w:hAnsi="Arial" w:cs="Arial"/>
          <w:i/>
          <w:color w:val="2E74B5" w:themeColor="accent1" w:themeShade="BF"/>
        </w:rPr>
      </w:pPr>
      <w:r w:rsidRPr="00B92CB8">
        <w:rPr>
          <w:rFonts w:ascii="Arial" w:hAnsi="Arial" w:cs="Arial"/>
        </w:rPr>
        <w:t>Bude</w:t>
      </w:r>
      <w:r w:rsidR="00C3798A" w:rsidRPr="00B92CB8">
        <w:rPr>
          <w:rFonts w:ascii="Arial" w:hAnsi="Arial" w:cs="Arial"/>
        </w:rPr>
        <w:t xml:space="preserve"> </w:t>
      </w:r>
      <w:r w:rsidR="00AC624B">
        <w:rPr>
          <w:rFonts w:ascii="Arial" w:hAnsi="Arial" w:cs="Arial"/>
        </w:rPr>
        <w:t xml:space="preserve">podávána organizacím </w:t>
      </w:r>
      <w:r w:rsidRPr="00B92CB8">
        <w:rPr>
          <w:rFonts w:ascii="Arial" w:hAnsi="Arial" w:cs="Arial"/>
        </w:rPr>
        <w:t>zpětn</w:t>
      </w:r>
      <w:r w:rsidR="00AC624B">
        <w:rPr>
          <w:rFonts w:ascii="Arial" w:hAnsi="Arial" w:cs="Arial"/>
        </w:rPr>
        <w:t>á vazba o tom</w:t>
      </w:r>
      <w:r w:rsidRPr="00B92CB8">
        <w:rPr>
          <w:rFonts w:ascii="Arial" w:hAnsi="Arial" w:cs="Arial"/>
        </w:rPr>
        <w:t xml:space="preserve">, </w:t>
      </w:r>
      <w:r w:rsidR="00AC624B">
        <w:rPr>
          <w:rFonts w:ascii="Arial" w:hAnsi="Arial" w:cs="Arial"/>
        </w:rPr>
        <w:t xml:space="preserve">že se některý klient </w:t>
      </w:r>
      <w:r w:rsidRPr="00B92CB8">
        <w:rPr>
          <w:rFonts w:ascii="Arial" w:hAnsi="Arial" w:cs="Arial"/>
        </w:rPr>
        <w:t>nespároval, a není možné ho započítat?</w:t>
      </w:r>
      <w:r w:rsidR="00AC624B">
        <w:rPr>
          <w:rFonts w:ascii="Arial" w:hAnsi="Arial" w:cs="Arial"/>
        </w:rPr>
        <w:t xml:space="preserve"> </w:t>
      </w:r>
      <w:r w:rsidR="00AC624B" w:rsidRPr="00D271CC">
        <w:rPr>
          <w:rFonts w:ascii="Arial" w:hAnsi="Arial" w:cs="Arial"/>
          <w:i/>
          <w:color w:val="2E74B5" w:themeColor="accent1" w:themeShade="BF"/>
        </w:rPr>
        <w:t xml:space="preserve">Ano. </w:t>
      </w:r>
    </w:p>
    <w:p w:rsidR="00D51724" w:rsidRPr="00D271CC" w:rsidRDefault="00D51724" w:rsidP="00262F37">
      <w:pPr>
        <w:pStyle w:val="Odstavecseseznamem"/>
        <w:numPr>
          <w:ilvl w:val="0"/>
          <w:numId w:val="6"/>
        </w:numPr>
        <w:ind w:left="0"/>
        <w:contextualSpacing w:val="0"/>
        <w:jc w:val="both"/>
        <w:rPr>
          <w:rFonts w:ascii="Arial" w:hAnsi="Arial" w:cs="Arial"/>
          <w:i/>
          <w:color w:val="2E74B5" w:themeColor="accent1" w:themeShade="BF"/>
        </w:rPr>
      </w:pPr>
      <w:r w:rsidRPr="00C3798A">
        <w:rPr>
          <w:rFonts w:ascii="Arial" w:hAnsi="Arial" w:cs="Arial"/>
        </w:rPr>
        <w:t xml:space="preserve">Lze vykázat pro účely projektu klienta, který má trvalé bydliště na Slovensku? </w:t>
      </w:r>
      <w:r w:rsidRPr="00D271CC">
        <w:rPr>
          <w:rFonts w:ascii="Arial" w:hAnsi="Arial" w:cs="Arial"/>
          <w:i/>
          <w:color w:val="2E74B5" w:themeColor="accent1" w:themeShade="BF"/>
        </w:rPr>
        <w:t xml:space="preserve">Nelze, systém spáruje pouze klienta s trvalým bydlištěm v České republice (tj. ani nemusí být trvale hlášen v lokalitě, kde je působnost služby). </w:t>
      </w:r>
    </w:p>
    <w:p w:rsidR="00C3798A" w:rsidRPr="00D271CC" w:rsidRDefault="00C3798A" w:rsidP="00262F37">
      <w:pPr>
        <w:pStyle w:val="Odstavecseseznamem"/>
        <w:numPr>
          <w:ilvl w:val="0"/>
          <w:numId w:val="6"/>
        </w:numPr>
        <w:spacing w:line="240" w:lineRule="auto"/>
        <w:ind w:left="0"/>
        <w:contextualSpacing w:val="0"/>
        <w:rPr>
          <w:rFonts w:ascii="Arial" w:hAnsi="Arial" w:cs="Arial"/>
          <w:i/>
          <w:color w:val="2E74B5" w:themeColor="accent1" w:themeShade="BF"/>
        </w:rPr>
      </w:pPr>
      <w:r w:rsidRPr="00C3798A">
        <w:rPr>
          <w:rFonts w:ascii="Arial" w:hAnsi="Arial" w:cs="Arial"/>
        </w:rPr>
        <w:t>Jak řešit trvalé bydliště v době sepsání smlouvy a vyhotovení monitorovacích listů?</w:t>
      </w:r>
      <w:r w:rsidRPr="00C3798A">
        <w:rPr>
          <w:rFonts w:ascii="Arial" w:hAnsi="Arial" w:cs="Arial"/>
          <w:i/>
          <w:color w:val="404040" w:themeColor="text1" w:themeTint="BF"/>
        </w:rPr>
        <w:t xml:space="preserve"> </w:t>
      </w:r>
      <w:r w:rsidRPr="00D271CC">
        <w:rPr>
          <w:rFonts w:ascii="Arial" w:hAnsi="Arial" w:cs="Arial"/>
          <w:i/>
          <w:color w:val="2E74B5" w:themeColor="accent1" w:themeShade="BF"/>
        </w:rPr>
        <w:t xml:space="preserve">Adresy musí být aktuální v době podávání monitorovacích listů. </w:t>
      </w:r>
    </w:p>
    <w:p w:rsidR="00C3798A" w:rsidRPr="00D271CC" w:rsidRDefault="00C3798A" w:rsidP="00262F37">
      <w:pPr>
        <w:pStyle w:val="Odstavecseseznamem"/>
        <w:numPr>
          <w:ilvl w:val="0"/>
          <w:numId w:val="6"/>
        </w:numPr>
        <w:spacing w:line="240" w:lineRule="auto"/>
        <w:ind w:left="0"/>
        <w:contextualSpacing w:val="0"/>
        <w:jc w:val="both"/>
        <w:rPr>
          <w:rFonts w:ascii="Arial" w:eastAsia="Calibri" w:hAnsi="Arial" w:cs="Arial"/>
          <w:i/>
          <w:color w:val="2E74B5" w:themeColor="accent1" w:themeShade="BF"/>
        </w:rPr>
      </w:pPr>
      <w:r w:rsidRPr="00C3798A">
        <w:rPr>
          <w:rFonts w:ascii="Arial" w:eastAsia="Calibri" w:hAnsi="Arial" w:cs="Arial"/>
        </w:rPr>
        <w:lastRenderedPageBreak/>
        <w:t>Co se počítá do přímé péče – i práce o klientovi, bez klienta?</w:t>
      </w:r>
      <w:r w:rsidRPr="00C3798A">
        <w:rPr>
          <w:rFonts w:ascii="Arial" w:eastAsia="Calibri" w:hAnsi="Arial" w:cs="Arial"/>
          <w:i/>
          <w:color w:val="595959"/>
        </w:rPr>
        <w:t xml:space="preserve"> </w:t>
      </w:r>
      <w:r w:rsidRPr="00D271CC">
        <w:rPr>
          <w:rFonts w:ascii="Arial" w:eastAsia="Calibri" w:hAnsi="Arial" w:cs="Arial"/>
          <w:i/>
          <w:color w:val="2E74B5" w:themeColor="accent1" w:themeShade="BF"/>
        </w:rPr>
        <w:t>Vysvětlena pomůcka, že vše</w:t>
      </w:r>
      <w:r w:rsidR="00523F60" w:rsidRPr="00D271CC">
        <w:rPr>
          <w:rFonts w:ascii="Arial" w:eastAsia="Calibri" w:hAnsi="Arial" w:cs="Arial"/>
          <w:i/>
          <w:color w:val="2E74B5" w:themeColor="accent1" w:themeShade="BF"/>
        </w:rPr>
        <w:t>,</w:t>
      </w:r>
      <w:r w:rsidRPr="00D271CC">
        <w:rPr>
          <w:rFonts w:ascii="Arial" w:eastAsia="Calibri" w:hAnsi="Arial" w:cs="Arial"/>
          <w:i/>
          <w:color w:val="2E74B5" w:themeColor="accent1" w:themeShade="BF"/>
        </w:rPr>
        <w:t xml:space="preserve"> co je provedené spolu s</w:t>
      </w:r>
      <w:r w:rsidR="00523F60" w:rsidRPr="00D271CC">
        <w:rPr>
          <w:rFonts w:ascii="Arial" w:eastAsia="Calibri" w:hAnsi="Arial" w:cs="Arial"/>
          <w:i/>
          <w:color w:val="2E74B5" w:themeColor="accent1" w:themeShade="BF"/>
        </w:rPr>
        <w:t> </w:t>
      </w:r>
      <w:r w:rsidRPr="00D271CC">
        <w:rPr>
          <w:rFonts w:ascii="Arial" w:eastAsia="Calibri" w:hAnsi="Arial" w:cs="Arial"/>
          <w:i/>
          <w:color w:val="2E74B5" w:themeColor="accent1" w:themeShade="BF"/>
        </w:rPr>
        <w:t>klientem</w:t>
      </w:r>
      <w:r w:rsidR="00523F60" w:rsidRPr="00D271CC">
        <w:rPr>
          <w:rFonts w:ascii="Arial" w:eastAsia="Calibri" w:hAnsi="Arial" w:cs="Arial"/>
          <w:i/>
          <w:color w:val="2E74B5" w:themeColor="accent1" w:themeShade="BF"/>
        </w:rPr>
        <w:t>,</w:t>
      </w:r>
      <w:r w:rsidRPr="00D271CC">
        <w:rPr>
          <w:rFonts w:ascii="Arial" w:eastAsia="Calibri" w:hAnsi="Arial" w:cs="Arial"/>
          <w:i/>
          <w:color w:val="2E74B5" w:themeColor="accent1" w:themeShade="BF"/>
        </w:rPr>
        <w:t xml:space="preserve"> je přímá péče, veškeré úkony pro klienta bez jeho přítomnosti jsou považovány za nepřímou péči.</w:t>
      </w:r>
    </w:p>
    <w:p w:rsidR="00371465" w:rsidRPr="003E1EFB" w:rsidRDefault="00B92CB8" w:rsidP="00371465">
      <w:pPr>
        <w:pStyle w:val="Odstavecseseznamem"/>
        <w:numPr>
          <w:ilvl w:val="0"/>
          <w:numId w:val="6"/>
        </w:numPr>
        <w:spacing w:after="0" w:line="240" w:lineRule="auto"/>
        <w:ind w:left="0" w:hanging="357"/>
        <w:contextualSpacing w:val="0"/>
        <w:jc w:val="both"/>
        <w:rPr>
          <w:rFonts w:ascii="Arial" w:eastAsia="Calibri" w:hAnsi="Arial" w:cs="Arial"/>
          <w:i/>
          <w:color w:val="0070C0"/>
        </w:rPr>
      </w:pPr>
      <w:r w:rsidRPr="00AB7B71">
        <w:rPr>
          <w:rFonts w:ascii="Arial" w:eastAsia="Calibri" w:hAnsi="Arial" w:cs="Arial"/>
        </w:rPr>
        <w:t>Lze v aktivitě SAS k</w:t>
      </w:r>
      <w:r w:rsidR="00AB7B71" w:rsidRPr="00AB7B71">
        <w:rPr>
          <w:rFonts w:ascii="Arial" w:eastAsia="Calibri" w:hAnsi="Arial" w:cs="Arial"/>
        </w:rPr>
        <w:t> </w:t>
      </w:r>
      <w:r w:rsidRPr="00AB7B71">
        <w:rPr>
          <w:rFonts w:ascii="Arial" w:eastAsia="Calibri" w:hAnsi="Arial" w:cs="Arial"/>
        </w:rPr>
        <w:t>trá</w:t>
      </w:r>
      <w:r w:rsidR="00AB7B71" w:rsidRPr="00AB7B71">
        <w:rPr>
          <w:rFonts w:ascii="Arial" w:eastAsia="Calibri" w:hAnsi="Arial" w:cs="Arial"/>
        </w:rPr>
        <w:t>vení volného času rodiny započítat čas přímé péče všem členům rodiny, když se účastní všichni? Obdobný dotaz – řešení bydlení rodiny – rodinu se podaří přestěhovat, čas přímé péče se započte pouze klientovi, se kterým je sepsána smlouva nebo všem členům rodiny, když se řešený problém týká všech?</w:t>
      </w:r>
      <w:r w:rsidR="006E3197">
        <w:rPr>
          <w:rFonts w:ascii="Arial" w:eastAsia="Calibri" w:hAnsi="Arial" w:cs="Arial"/>
        </w:rPr>
        <w:t xml:space="preserve"> </w:t>
      </w:r>
      <w:bookmarkStart w:id="0" w:name="_GoBack"/>
      <w:r w:rsidR="006E3197" w:rsidRPr="003E1EFB">
        <w:rPr>
          <w:rFonts w:ascii="Arial" w:eastAsia="Calibri" w:hAnsi="Arial" w:cs="Arial"/>
          <w:i/>
          <w:color w:val="0070C0"/>
        </w:rPr>
        <w:t>Pouze v případě, že bylo se všemi prokazatelně pracováno (indikátor 6 70 10).</w:t>
      </w:r>
    </w:p>
    <w:bookmarkEnd w:id="0"/>
    <w:p w:rsidR="006E3197" w:rsidRPr="006E3197" w:rsidRDefault="006E3197" w:rsidP="006E3197">
      <w:pPr>
        <w:pStyle w:val="Odstavecseseznamem"/>
        <w:spacing w:after="0" w:line="240" w:lineRule="auto"/>
        <w:ind w:left="0"/>
        <w:contextualSpacing w:val="0"/>
        <w:jc w:val="both"/>
        <w:rPr>
          <w:rFonts w:ascii="Arial" w:eastAsia="Calibri" w:hAnsi="Arial" w:cs="Arial"/>
          <w:color w:val="0070C0"/>
        </w:rPr>
      </w:pPr>
    </w:p>
    <w:p w:rsidR="00C3798A" w:rsidRPr="00D271CC" w:rsidRDefault="00C3798A" w:rsidP="00262F37">
      <w:pPr>
        <w:pStyle w:val="Odstavecseseznamem"/>
        <w:numPr>
          <w:ilvl w:val="0"/>
          <w:numId w:val="6"/>
        </w:numPr>
        <w:ind w:left="0"/>
        <w:contextualSpacing w:val="0"/>
        <w:jc w:val="both"/>
        <w:rPr>
          <w:rFonts w:ascii="Arial" w:hAnsi="Arial" w:cs="Arial"/>
          <w:i/>
          <w:color w:val="2E74B5" w:themeColor="accent1" w:themeShade="BF"/>
        </w:rPr>
      </w:pPr>
      <w:r w:rsidRPr="00C3798A">
        <w:rPr>
          <w:rFonts w:ascii="Arial" w:hAnsi="Arial" w:cs="Arial"/>
        </w:rPr>
        <w:t xml:space="preserve">Kam se uvádí informace na kolik plní indikátor 6 70 10? </w:t>
      </w:r>
      <w:r w:rsidRPr="00D271CC">
        <w:rPr>
          <w:rFonts w:ascii="Arial" w:hAnsi="Arial" w:cs="Arial"/>
          <w:i/>
          <w:color w:val="2E74B5" w:themeColor="accent1" w:themeShade="BF"/>
        </w:rPr>
        <w:t xml:space="preserve">Bude popisováno do monitorovacích zpráv a ověřováno v rámci kontrol z dokumentace klientů. </w:t>
      </w:r>
    </w:p>
    <w:p w:rsidR="00C3798A" w:rsidRPr="00D271CC" w:rsidRDefault="00C3798A" w:rsidP="00262F37">
      <w:pPr>
        <w:pStyle w:val="Odstavecseseznamem"/>
        <w:numPr>
          <w:ilvl w:val="0"/>
          <w:numId w:val="6"/>
        </w:numPr>
        <w:ind w:left="0"/>
        <w:contextualSpacing w:val="0"/>
        <w:rPr>
          <w:rFonts w:ascii="Arial" w:hAnsi="Arial" w:cs="Arial"/>
          <w:i/>
          <w:color w:val="2E74B5" w:themeColor="accent1" w:themeShade="BF"/>
        </w:rPr>
      </w:pPr>
      <w:r w:rsidRPr="00C3798A">
        <w:rPr>
          <w:rFonts w:ascii="Arial" w:hAnsi="Arial" w:cs="Arial"/>
        </w:rPr>
        <w:t xml:space="preserve">Bude kontrolováno u pracovníků ve zkušební době, zda plní </w:t>
      </w:r>
      <w:r w:rsidR="002C00F4">
        <w:rPr>
          <w:rFonts w:ascii="Arial" w:hAnsi="Arial" w:cs="Arial"/>
        </w:rPr>
        <w:t>další</w:t>
      </w:r>
      <w:r w:rsidRPr="00C3798A">
        <w:rPr>
          <w:rFonts w:ascii="Arial" w:hAnsi="Arial" w:cs="Arial"/>
        </w:rPr>
        <w:t xml:space="preserve"> vzdělávání</w:t>
      </w:r>
      <w:r w:rsidR="002C00F4">
        <w:rPr>
          <w:rFonts w:ascii="Arial" w:hAnsi="Arial" w:cs="Arial"/>
        </w:rPr>
        <w:t xml:space="preserve"> dle zákona</w:t>
      </w:r>
      <w:r w:rsidRPr="00C3798A">
        <w:rPr>
          <w:rFonts w:ascii="Arial" w:hAnsi="Arial" w:cs="Arial"/>
        </w:rPr>
        <w:t>?</w:t>
      </w:r>
      <w:r w:rsidR="00CF2A99">
        <w:rPr>
          <w:rFonts w:ascii="Arial" w:hAnsi="Arial" w:cs="Arial"/>
        </w:rPr>
        <w:t xml:space="preserve"> </w:t>
      </w:r>
      <w:r w:rsidR="00CF2A99" w:rsidRPr="00D271CC">
        <w:rPr>
          <w:rFonts w:ascii="Arial" w:hAnsi="Arial" w:cs="Arial"/>
          <w:i/>
          <w:color w:val="2E74B5" w:themeColor="accent1" w:themeShade="BF"/>
        </w:rPr>
        <w:t>Ne</w:t>
      </w:r>
      <w:r w:rsidR="002C00F4" w:rsidRPr="00D271CC">
        <w:rPr>
          <w:rFonts w:ascii="Arial" w:hAnsi="Arial" w:cs="Arial"/>
          <w:i/>
          <w:color w:val="2E74B5" w:themeColor="accent1" w:themeShade="BF"/>
        </w:rPr>
        <w:t xml:space="preserve"> (viz zák</w:t>
      </w:r>
      <w:r w:rsidR="00D271CC">
        <w:rPr>
          <w:rFonts w:ascii="Arial" w:hAnsi="Arial" w:cs="Arial"/>
          <w:i/>
          <w:color w:val="2E74B5" w:themeColor="accent1" w:themeShade="BF"/>
        </w:rPr>
        <w:t>on o sociálních službách, § 111, odst. 1)</w:t>
      </w:r>
    </w:p>
    <w:p w:rsidR="00862DBE" w:rsidRDefault="00D51724" w:rsidP="00862DBE">
      <w:pPr>
        <w:pStyle w:val="Odstavecseseznamem"/>
        <w:numPr>
          <w:ilvl w:val="0"/>
          <w:numId w:val="6"/>
        </w:numPr>
        <w:ind w:left="0"/>
        <w:jc w:val="both"/>
        <w:rPr>
          <w:rFonts w:ascii="Arial" w:hAnsi="Arial" w:cs="Arial"/>
          <w:i/>
        </w:rPr>
      </w:pPr>
      <w:r w:rsidRPr="00C3798A">
        <w:rPr>
          <w:rFonts w:ascii="Arial" w:hAnsi="Arial" w:cs="Arial"/>
        </w:rPr>
        <w:t>V souvislosti s publicitou, je nutné uvádět také loga Ústeckého kraje?</w:t>
      </w:r>
      <w:r w:rsidR="00862DBE">
        <w:rPr>
          <w:rFonts w:ascii="Arial" w:hAnsi="Arial" w:cs="Arial"/>
        </w:rPr>
        <w:t xml:space="preserve"> </w:t>
      </w:r>
      <w:r w:rsidR="00862DBE" w:rsidRPr="00D271CC">
        <w:rPr>
          <w:rFonts w:ascii="Arial" w:hAnsi="Arial" w:cs="Arial"/>
          <w:i/>
          <w:color w:val="2E74B5" w:themeColor="accent1" w:themeShade="BF"/>
        </w:rPr>
        <w:t>Publicita je upravena v části VI. Smlouvy o poskytnutí dotace. Pravidla povinné publicity jsou k nalezení v </w:t>
      </w:r>
      <w:r w:rsidR="00862DBE" w:rsidRPr="00D271CC">
        <w:rPr>
          <w:rFonts w:ascii="Arial" w:hAnsi="Arial" w:cs="Arial"/>
          <w:bCs/>
          <w:i/>
          <w:color w:val="2E74B5" w:themeColor="accent1" w:themeShade="BF"/>
        </w:rPr>
        <w:t>kapitole 19</w:t>
      </w:r>
      <w:r w:rsidR="00862DBE" w:rsidRPr="00D271CC">
        <w:rPr>
          <w:rFonts w:ascii="Arial" w:hAnsi="Arial" w:cs="Arial"/>
          <w:i/>
          <w:color w:val="2E74B5" w:themeColor="accent1" w:themeShade="BF"/>
        </w:rPr>
        <w:t xml:space="preserve">  aktualizované metodické příručky  pro žadatele a příjemce </w:t>
      </w:r>
      <w:hyperlink r:id="rId7" w:history="1">
        <w:r w:rsidR="00862DBE" w:rsidRPr="00D271CC">
          <w:rPr>
            <w:rStyle w:val="Hypertextovodkaz"/>
            <w:rFonts w:ascii="Arial" w:hAnsi="Arial" w:cs="Arial"/>
            <w:i/>
            <w:color w:val="2E74B5" w:themeColor="accent1" w:themeShade="BF"/>
          </w:rPr>
          <w:t>https://www.esfcr.cz/pravidla-pro-zadatele-a-prijemce-opz/-/dokument/797767</w:t>
        </w:r>
      </w:hyperlink>
      <w:r w:rsidR="00862DBE" w:rsidRPr="003F6D9E">
        <w:rPr>
          <w:rFonts w:ascii="Arial" w:hAnsi="Arial" w:cs="Arial"/>
          <w:i/>
        </w:rPr>
        <w:t xml:space="preserve">. </w:t>
      </w:r>
    </w:p>
    <w:p w:rsidR="003F6D9E" w:rsidRPr="003F6D9E" w:rsidRDefault="003F6D9E" w:rsidP="003F6D9E">
      <w:pPr>
        <w:pStyle w:val="Odstavecseseznamem"/>
        <w:ind w:left="0"/>
        <w:jc w:val="both"/>
        <w:rPr>
          <w:rFonts w:ascii="Arial" w:hAnsi="Arial" w:cs="Arial"/>
          <w:i/>
        </w:rPr>
      </w:pPr>
    </w:p>
    <w:p w:rsidR="003F6D9E" w:rsidRPr="00D271CC" w:rsidRDefault="00C3798A" w:rsidP="003F6D9E">
      <w:pPr>
        <w:pStyle w:val="Odstavecseseznamem"/>
        <w:numPr>
          <w:ilvl w:val="0"/>
          <w:numId w:val="6"/>
        </w:numPr>
        <w:ind w:left="0"/>
        <w:contextualSpacing w:val="0"/>
        <w:jc w:val="both"/>
        <w:rPr>
          <w:rFonts w:ascii="Arial" w:hAnsi="Arial" w:cs="Arial"/>
          <w:i/>
          <w:color w:val="2E74B5" w:themeColor="accent1" w:themeShade="BF"/>
        </w:rPr>
      </w:pPr>
      <w:r w:rsidRPr="003F6D9E">
        <w:rPr>
          <w:rFonts w:ascii="Arial" w:hAnsi="Arial" w:cs="Arial"/>
        </w:rPr>
        <w:t>Musí být zachována publicita na vývěskách s otev</w:t>
      </w:r>
      <w:r w:rsidR="00523F60" w:rsidRPr="003F6D9E">
        <w:rPr>
          <w:rFonts w:ascii="Arial" w:hAnsi="Arial" w:cs="Arial"/>
        </w:rPr>
        <w:t xml:space="preserve">írací dobou služby u vchodových </w:t>
      </w:r>
      <w:r w:rsidRPr="003F6D9E">
        <w:rPr>
          <w:rFonts w:ascii="Arial" w:hAnsi="Arial" w:cs="Arial"/>
        </w:rPr>
        <w:t>dveří?</w:t>
      </w:r>
      <w:r w:rsidR="00862DBE" w:rsidRPr="003F6D9E">
        <w:rPr>
          <w:rFonts w:ascii="Arial" w:hAnsi="Arial" w:cs="Arial"/>
        </w:rPr>
        <w:t xml:space="preserve"> </w:t>
      </w:r>
      <w:r w:rsidR="00862DBE" w:rsidRPr="003F6D9E">
        <w:rPr>
          <w:rFonts w:ascii="Arial" w:hAnsi="Arial" w:cs="Arial"/>
          <w:i/>
        </w:rPr>
        <w:t xml:space="preserve">Nemusí. </w:t>
      </w:r>
      <w:r w:rsidR="003F6D9E" w:rsidRPr="00D271CC">
        <w:rPr>
          <w:rFonts w:ascii="Arial" w:hAnsi="Arial" w:cs="Arial"/>
          <w:i/>
          <w:color w:val="2E74B5" w:themeColor="accent1" w:themeShade="BF"/>
        </w:rPr>
        <w:t xml:space="preserve">Povinný je plakát minimálně ve velikosti A3, kterým musí být označena podpořená služba v místě realizace projektu na snadno viditelném pro veřejnost, jako jsou vstupní prostory budovy. Pravidla povinné publicity jsou k nalezení v kapitole 19  aktualizované metodické příručky  pro žadatele a příjemce   </w:t>
      </w:r>
      <w:hyperlink r:id="rId8" w:history="1">
        <w:r w:rsidR="003F6D9E" w:rsidRPr="00D271CC">
          <w:rPr>
            <w:rStyle w:val="Hypertextovodkaz"/>
            <w:rFonts w:ascii="Arial" w:hAnsi="Arial" w:cs="Arial"/>
            <w:i/>
            <w:color w:val="2E74B5" w:themeColor="accent1" w:themeShade="BF"/>
          </w:rPr>
          <w:t>https://www.esfcr.cz/pravidla-pro-zadatele-a-prijemce-opz/-/dokument/797767</w:t>
        </w:r>
      </w:hyperlink>
    </w:p>
    <w:p w:rsidR="00D51724" w:rsidRPr="00D271CC" w:rsidRDefault="00D51724" w:rsidP="00262F37">
      <w:pPr>
        <w:pStyle w:val="Odstavecseseznamem"/>
        <w:numPr>
          <w:ilvl w:val="0"/>
          <w:numId w:val="6"/>
        </w:numPr>
        <w:ind w:left="0"/>
        <w:contextualSpacing w:val="0"/>
        <w:jc w:val="both"/>
        <w:rPr>
          <w:rFonts w:ascii="Arial" w:hAnsi="Arial" w:cs="Arial"/>
          <w:i/>
          <w:color w:val="2E74B5" w:themeColor="accent1" w:themeShade="BF"/>
        </w:rPr>
      </w:pPr>
      <w:r>
        <w:rPr>
          <w:rFonts w:ascii="Arial" w:hAnsi="Arial" w:cs="Arial"/>
        </w:rPr>
        <w:t>Povinná publicita – na webových stránkách má být logo s názvem projektu uvedené na stránce služby nebo organizace?</w:t>
      </w:r>
      <w:r w:rsidR="003F6D9E">
        <w:rPr>
          <w:rFonts w:ascii="Arial" w:hAnsi="Arial" w:cs="Arial"/>
        </w:rPr>
        <w:t xml:space="preserve"> </w:t>
      </w:r>
      <w:r w:rsidR="003F6D9E" w:rsidRPr="00D271CC">
        <w:rPr>
          <w:rFonts w:ascii="Arial" w:hAnsi="Arial" w:cs="Arial"/>
          <w:i/>
          <w:color w:val="2E74B5" w:themeColor="accent1" w:themeShade="BF"/>
        </w:rPr>
        <w:t xml:space="preserve">Pokud má služba samostatné webové stránky, uvádět u služby, pokud má webové stránky organizace pro všechny služby najednou, uvést na stránkách organizace tak, aby bylo zřejmé, která konkrétní služba je z projektu podpořena. </w:t>
      </w:r>
    </w:p>
    <w:p w:rsidR="00C77616" w:rsidRDefault="00C77616" w:rsidP="00262F37">
      <w:pPr>
        <w:pStyle w:val="Odstavecseseznamem"/>
        <w:numPr>
          <w:ilvl w:val="0"/>
          <w:numId w:val="6"/>
        </w:numPr>
        <w:spacing w:line="240" w:lineRule="auto"/>
        <w:ind w:left="0"/>
        <w:contextualSpacing w:val="0"/>
        <w:jc w:val="both"/>
        <w:rPr>
          <w:rFonts w:ascii="Arial" w:hAnsi="Arial" w:cs="Arial"/>
          <w:i/>
        </w:rPr>
      </w:pPr>
      <w:r w:rsidRPr="0082243D">
        <w:rPr>
          <w:rFonts w:ascii="Arial" w:hAnsi="Arial" w:cs="Arial"/>
        </w:rPr>
        <w:t xml:space="preserve">V případě, že nejsou naplněné úvazky PP, které má služba v Pověření, stačí prokázat, že je vyhlašováno výběrové řízení a nový pracovník se aktivně hledá? </w:t>
      </w:r>
      <w:r w:rsidRPr="00D271CC">
        <w:rPr>
          <w:rFonts w:ascii="Arial" w:hAnsi="Arial" w:cs="Arial"/>
          <w:i/>
          <w:color w:val="2E74B5" w:themeColor="accent1" w:themeShade="BF"/>
        </w:rPr>
        <w:t xml:space="preserve">Ano, lze. </w:t>
      </w:r>
    </w:p>
    <w:p w:rsidR="00E453F8" w:rsidRPr="00E453F8" w:rsidRDefault="00C3798A" w:rsidP="00E453F8">
      <w:pPr>
        <w:pStyle w:val="Odstavecseseznamem"/>
        <w:numPr>
          <w:ilvl w:val="0"/>
          <w:numId w:val="6"/>
        </w:numPr>
        <w:spacing w:line="240" w:lineRule="auto"/>
        <w:ind w:left="0"/>
        <w:contextualSpacing w:val="0"/>
        <w:jc w:val="both"/>
        <w:rPr>
          <w:rFonts w:ascii="Arial" w:hAnsi="Arial" w:cs="Arial"/>
          <w:i/>
          <w:color w:val="2E74B5" w:themeColor="accent1" w:themeShade="BF"/>
        </w:rPr>
      </w:pPr>
      <w:r w:rsidRPr="00DB3F45">
        <w:rPr>
          <w:rFonts w:ascii="Arial" w:hAnsi="Arial" w:cs="Arial"/>
        </w:rPr>
        <w:t>Jsou požadavky na poměr mezi ambulantní a terénní formou?</w:t>
      </w:r>
      <w:r w:rsidRPr="00DB3F45">
        <w:rPr>
          <w:rFonts w:ascii="Arial" w:hAnsi="Arial" w:cs="Arial"/>
          <w:i/>
          <w:color w:val="595959" w:themeColor="text1" w:themeTint="A6"/>
        </w:rPr>
        <w:t xml:space="preserve"> </w:t>
      </w:r>
      <w:r w:rsidR="005017EB" w:rsidRPr="00D271CC">
        <w:rPr>
          <w:rFonts w:ascii="Arial" w:hAnsi="Arial" w:cs="Arial"/>
          <w:i/>
          <w:color w:val="2E74B5" w:themeColor="accent1" w:themeShade="BF"/>
        </w:rPr>
        <w:t xml:space="preserve">V projektu není </w:t>
      </w:r>
      <w:r w:rsidR="00DB3F45" w:rsidRPr="00D271CC">
        <w:rPr>
          <w:rFonts w:ascii="Arial" w:hAnsi="Arial" w:cs="Arial"/>
          <w:i/>
          <w:color w:val="2E74B5" w:themeColor="accent1" w:themeShade="BF"/>
        </w:rPr>
        <w:t>stanoveno</w:t>
      </w:r>
      <w:r w:rsidR="005017EB" w:rsidRPr="00D271CC">
        <w:rPr>
          <w:rFonts w:ascii="Arial" w:hAnsi="Arial" w:cs="Arial"/>
          <w:i/>
          <w:color w:val="2E74B5" w:themeColor="accent1" w:themeShade="BF"/>
        </w:rPr>
        <w:t xml:space="preserve">, ale </w:t>
      </w:r>
      <w:r w:rsidR="00366D23" w:rsidRPr="00D271CC">
        <w:rPr>
          <w:rFonts w:ascii="Arial" w:hAnsi="Arial" w:cs="Arial"/>
          <w:i/>
          <w:color w:val="2E74B5" w:themeColor="accent1" w:themeShade="BF"/>
        </w:rPr>
        <w:t xml:space="preserve">vyhláška č. 505/2006 Sb., </w:t>
      </w:r>
      <w:r w:rsidR="00366D23" w:rsidRPr="00D271CC">
        <w:rPr>
          <w:rFonts w:ascii="Arial" w:hAnsi="Arial" w:cs="Arial"/>
          <w:i/>
          <w:iCs/>
          <w:color w:val="2E74B5" w:themeColor="accent1" w:themeShade="BF"/>
        </w:rPr>
        <w:t xml:space="preserve">kterou se provádějí některá ustanovení zákona o sociálních službách </w:t>
      </w:r>
      <w:r w:rsidR="00DB3F45" w:rsidRPr="00D271CC">
        <w:rPr>
          <w:rFonts w:ascii="Arial" w:hAnsi="Arial" w:cs="Arial"/>
          <w:i/>
          <w:iCs/>
          <w:color w:val="2E74B5" w:themeColor="accent1" w:themeShade="BF"/>
        </w:rPr>
        <w:t>udává</w:t>
      </w:r>
      <w:r w:rsidR="00366D23" w:rsidRPr="00D271CC">
        <w:rPr>
          <w:rFonts w:ascii="Arial" w:hAnsi="Arial" w:cs="Arial"/>
          <w:i/>
          <w:iCs/>
          <w:color w:val="2E74B5" w:themeColor="accent1" w:themeShade="BF"/>
        </w:rPr>
        <w:t xml:space="preserve">, </w:t>
      </w:r>
      <w:r w:rsidR="00DB3F45" w:rsidRPr="00D271CC">
        <w:rPr>
          <w:rFonts w:ascii="Arial" w:hAnsi="Arial" w:cs="Arial"/>
          <w:i/>
          <w:iCs/>
          <w:color w:val="2E74B5" w:themeColor="accent1" w:themeShade="BF"/>
        </w:rPr>
        <w:t xml:space="preserve">že </w:t>
      </w:r>
      <w:r w:rsidR="00DB3F45" w:rsidRPr="00D271CC">
        <w:rPr>
          <w:rFonts w:ascii="Arial" w:hAnsi="Arial" w:cs="Arial"/>
          <w:i/>
          <w:color w:val="2E74B5" w:themeColor="accent1" w:themeShade="BF"/>
        </w:rPr>
        <w:t>pracovně výchovná činnost s dospělými má být zajišťována alespoň v </w:t>
      </w:r>
      <w:proofErr w:type="gramStart"/>
      <w:r w:rsidR="00DB3F45" w:rsidRPr="00D271CC">
        <w:rPr>
          <w:rFonts w:ascii="Arial" w:hAnsi="Arial" w:cs="Arial"/>
          <w:i/>
          <w:color w:val="2E74B5" w:themeColor="accent1" w:themeShade="BF"/>
        </w:rPr>
        <w:t>70 %  možných</w:t>
      </w:r>
      <w:proofErr w:type="gramEnd"/>
      <w:r w:rsidR="00DB3F45" w:rsidRPr="00D271CC">
        <w:rPr>
          <w:rFonts w:ascii="Arial" w:hAnsi="Arial" w:cs="Arial"/>
          <w:i/>
          <w:color w:val="2E74B5" w:themeColor="accent1" w:themeShade="BF"/>
        </w:rPr>
        <w:t xml:space="preserve"> činností formou terénní služby.</w:t>
      </w:r>
    </w:p>
    <w:p w:rsidR="00C77616" w:rsidRPr="00353B23" w:rsidRDefault="00C77616" w:rsidP="00353B23">
      <w:pPr>
        <w:pStyle w:val="Odstavecseseznamem"/>
        <w:numPr>
          <w:ilvl w:val="0"/>
          <w:numId w:val="6"/>
        </w:numPr>
        <w:spacing w:line="240" w:lineRule="auto"/>
        <w:ind w:left="0"/>
        <w:contextualSpacing w:val="0"/>
        <w:jc w:val="both"/>
        <w:rPr>
          <w:rFonts w:ascii="Arial" w:hAnsi="Arial" w:cs="Arial"/>
          <w:i/>
          <w:color w:val="2E74B5" w:themeColor="accent1" w:themeShade="BF"/>
        </w:rPr>
      </w:pPr>
      <w:r w:rsidRPr="00E453F8">
        <w:rPr>
          <w:rFonts w:ascii="Arial" w:hAnsi="Arial" w:cs="Arial"/>
        </w:rPr>
        <w:t xml:space="preserve">Je možné vstupovat se stejnými klienty v rámci různých sociálních služeb jedné organizace do různých projektů financovaných z evropské unie, operačního programu zaměstnanost? (např. organizace má registrované sociální služby odborné sociální poradenství a sociálně aktivizační službu pro rodiny s dětmi – klient organizace využije obě služby, každá ze služeb je financovaná z jiného projektu, bude pro každou z uvedených služeb tento klient započitatelný jako </w:t>
      </w:r>
      <w:proofErr w:type="spellStart"/>
      <w:r w:rsidRPr="00E453F8">
        <w:rPr>
          <w:rFonts w:ascii="Arial" w:hAnsi="Arial" w:cs="Arial"/>
        </w:rPr>
        <w:t>unicitní</w:t>
      </w:r>
      <w:proofErr w:type="spellEnd"/>
      <w:r w:rsidRPr="00E453F8">
        <w:rPr>
          <w:rFonts w:ascii="Arial" w:hAnsi="Arial" w:cs="Arial"/>
        </w:rPr>
        <w:t>?</w:t>
      </w:r>
      <w:r w:rsidR="00DB3F45" w:rsidRPr="00E453F8">
        <w:rPr>
          <w:rFonts w:ascii="Arial" w:hAnsi="Arial" w:cs="Arial"/>
          <w:color w:val="FF0000"/>
        </w:rPr>
        <w:t xml:space="preserve"> </w:t>
      </w:r>
      <w:r w:rsidR="00E453F8">
        <w:rPr>
          <w:rFonts w:ascii="Arial" w:hAnsi="Arial" w:cs="Arial"/>
          <w:i/>
          <w:color w:val="2E74B5" w:themeColor="accent1" w:themeShade="BF"/>
        </w:rPr>
        <w:t>Pokud podpořená osoba</w:t>
      </w:r>
      <w:r w:rsidR="00E453F8" w:rsidRPr="00E453F8">
        <w:rPr>
          <w:rFonts w:ascii="Arial" w:hAnsi="Arial" w:cs="Arial"/>
          <w:i/>
          <w:color w:val="2E74B5" w:themeColor="accent1" w:themeShade="BF"/>
        </w:rPr>
        <w:t xml:space="preserve"> využívá sociální služby v různých projektech, tak v každém projektu bude vykazována jako unikátní osoba. Podpořená osoba v rámci jednoho projektu se započítává pouze jednou bez ohledu na to, kolik hodin podpory v jednotlivých službách obdržela. Podpora je jakákoliv aktivita financovaná z rozpoč</w:t>
      </w:r>
      <w:r w:rsidR="00353B23">
        <w:rPr>
          <w:rFonts w:ascii="Arial" w:hAnsi="Arial" w:cs="Arial"/>
          <w:i/>
          <w:color w:val="2E74B5" w:themeColor="accent1" w:themeShade="BF"/>
        </w:rPr>
        <w:t xml:space="preserve">tu projektu, ze které má osoba </w:t>
      </w:r>
      <w:r w:rsidR="00E453F8" w:rsidRPr="00E453F8">
        <w:rPr>
          <w:rFonts w:ascii="Arial" w:hAnsi="Arial" w:cs="Arial"/>
          <w:i/>
          <w:color w:val="2E74B5" w:themeColor="accent1" w:themeShade="BF"/>
        </w:rPr>
        <w:t>cílové skupiny prospěch.</w:t>
      </w:r>
      <w:r w:rsidR="00E453F8" w:rsidRPr="00E453F8">
        <w:rPr>
          <w:rFonts w:ascii="Arial" w:hAnsi="Arial" w:cs="Arial"/>
          <w:color w:val="FF0000"/>
        </w:rPr>
        <w:t xml:space="preserve">  </w:t>
      </w:r>
    </w:p>
    <w:p w:rsidR="00C77616" w:rsidRDefault="00C77616" w:rsidP="00262F37">
      <w:pPr>
        <w:pStyle w:val="Odstavecseseznamem"/>
        <w:numPr>
          <w:ilvl w:val="0"/>
          <w:numId w:val="6"/>
        </w:numPr>
        <w:ind w:left="0"/>
        <w:contextualSpacing w:val="0"/>
        <w:jc w:val="both"/>
        <w:rPr>
          <w:rFonts w:ascii="Arial" w:hAnsi="Arial" w:cs="Arial"/>
          <w:color w:val="FF0000"/>
        </w:rPr>
      </w:pPr>
      <w:r w:rsidRPr="00D271CC">
        <w:rPr>
          <w:rFonts w:ascii="Arial" w:hAnsi="Arial" w:cs="Arial"/>
        </w:rPr>
        <w:lastRenderedPageBreak/>
        <w:t xml:space="preserve">Pro účely započítání unicitních klientů v rámci našeho individuálního projektu je věkové omezení klientů? </w:t>
      </w:r>
      <w:r w:rsidR="00353B23" w:rsidRPr="00353B23">
        <w:rPr>
          <w:rFonts w:ascii="Arial" w:hAnsi="Arial" w:cs="Arial"/>
          <w:i/>
          <w:color w:val="2E74B5" w:themeColor="accent1" w:themeShade="BF"/>
        </w:rPr>
        <w:t>Věkové omezení není v OPZ stanoveno</w:t>
      </w:r>
      <w:r w:rsidR="00353B23">
        <w:rPr>
          <w:rFonts w:ascii="Arial" w:hAnsi="Arial" w:cs="Arial"/>
          <w:i/>
          <w:color w:val="2E74B5" w:themeColor="accent1" w:themeShade="BF"/>
        </w:rPr>
        <w:t>.</w:t>
      </w:r>
    </w:p>
    <w:p w:rsidR="00C77616" w:rsidRPr="00353B23" w:rsidRDefault="00C77616" w:rsidP="00353B23">
      <w:pPr>
        <w:pStyle w:val="Odstavecseseznamem"/>
        <w:numPr>
          <w:ilvl w:val="0"/>
          <w:numId w:val="6"/>
        </w:numPr>
        <w:ind w:left="0"/>
        <w:contextualSpacing w:val="0"/>
        <w:jc w:val="both"/>
        <w:rPr>
          <w:rFonts w:ascii="Arial" w:hAnsi="Arial" w:cs="Arial"/>
          <w:i/>
          <w:color w:val="FF0000"/>
        </w:rPr>
      </w:pPr>
      <w:r w:rsidRPr="00B507E5">
        <w:rPr>
          <w:rFonts w:ascii="Arial" w:hAnsi="Arial" w:cs="Arial"/>
        </w:rPr>
        <w:t xml:space="preserve">Bude MPSV požadovat pro případnou kontrolu u poskytovatelů papírovou podobu dokumentace? </w:t>
      </w:r>
      <w:r w:rsidR="00B507E5" w:rsidRPr="00353B23">
        <w:rPr>
          <w:rFonts w:ascii="Arial" w:hAnsi="Arial" w:cs="Arial"/>
          <w:i/>
          <w:color w:val="2E74B5" w:themeColor="accent1" w:themeShade="BF"/>
        </w:rPr>
        <w:t xml:space="preserve">Při kontrole na místě u poskytovatelů soc. služeb se kontrolují originály dokladů (např. </w:t>
      </w:r>
      <w:proofErr w:type="gramStart"/>
      <w:r w:rsidR="00B507E5" w:rsidRPr="00353B23">
        <w:rPr>
          <w:rFonts w:ascii="Arial" w:hAnsi="Arial" w:cs="Arial"/>
          <w:i/>
          <w:color w:val="2E74B5" w:themeColor="accent1" w:themeShade="BF"/>
        </w:rPr>
        <w:t>písemní</w:t>
      </w:r>
      <w:proofErr w:type="gramEnd"/>
      <w:r w:rsidR="00B507E5" w:rsidRPr="00353B23">
        <w:rPr>
          <w:rFonts w:ascii="Arial" w:hAnsi="Arial" w:cs="Arial"/>
          <w:i/>
          <w:color w:val="2E74B5" w:themeColor="accent1" w:themeShade="BF"/>
        </w:rPr>
        <w:t xml:space="preserve"> smlouva s klientem, finanční doklady atd.).</w:t>
      </w:r>
    </w:p>
    <w:p w:rsidR="002C00F4" w:rsidRPr="00D271CC" w:rsidRDefault="00C77616" w:rsidP="004607B4">
      <w:pPr>
        <w:pStyle w:val="Odstavecseseznamem"/>
        <w:numPr>
          <w:ilvl w:val="0"/>
          <w:numId w:val="6"/>
        </w:numPr>
        <w:ind w:left="0"/>
        <w:contextualSpacing w:val="0"/>
        <w:jc w:val="both"/>
        <w:rPr>
          <w:rFonts w:ascii="Arial" w:hAnsi="Arial" w:cs="Arial"/>
          <w:i/>
          <w:color w:val="2E74B5" w:themeColor="accent1" w:themeShade="BF"/>
        </w:rPr>
      </w:pPr>
      <w:r w:rsidRPr="002C00F4">
        <w:rPr>
          <w:rFonts w:ascii="Arial" w:hAnsi="Arial" w:cs="Arial"/>
        </w:rPr>
        <w:t xml:space="preserve">V rámci </w:t>
      </w:r>
      <w:r w:rsidR="002C00F4">
        <w:rPr>
          <w:rFonts w:ascii="Arial" w:hAnsi="Arial" w:cs="Arial"/>
        </w:rPr>
        <w:t xml:space="preserve">dalšího </w:t>
      </w:r>
      <w:r w:rsidRPr="002C00F4">
        <w:rPr>
          <w:rFonts w:ascii="Arial" w:hAnsi="Arial" w:cs="Arial"/>
        </w:rPr>
        <w:t xml:space="preserve">vzdělávání </w:t>
      </w:r>
      <w:r w:rsidR="002C00F4">
        <w:rPr>
          <w:rFonts w:ascii="Arial" w:hAnsi="Arial" w:cs="Arial"/>
        </w:rPr>
        <w:t xml:space="preserve">sociálního pracovníka </w:t>
      </w:r>
      <w:r w:rsidRPr="002C00F4">
        <w:rPr>
          <w:rFonts w:ascii="Arial" w:hAnsi="Arial" w:cs="Arial"/>
        </w:rPr>
        <w:t xml:space="preserve">lze započíst stáž s časovou dotací 8 hodin nebo více až do potřebných 24 hodin? </w:t>
      </w:r>
      <w:r w:rsidR="002C00F4" w:rsidRPr="00D271CC">
        <w:rPr>
          <w:rFonts w:ascii="Arial" w:hAnsi="Arial" w:cs="Arial"/>
          <w:i/>
          <w:color w:val="2E74B5" w:themeColor="accent1" w:themeShade="BF"/>
        </w:rPr>
        <w:t>Zákon 108/2006 Sb., o sociálních službách vymezuje v § 111, odst. 2 formy dalšího vzdělávání, přičemž maximální rozsah hodin je omezen pouze v </w:t>
      </w:r>
      <w:r w:rsidR="002C00F4" w:rsidRPr="00C8100E">
        <w:rPr>
          <w:rFonts w:ascii="Arial" w:hAnsi="Arial" w:cs="Arial"/>
        </w:rPr>
        <w:t>bodě</w:t>
      </w:r>
      <w:r w:rsidR="002C00F4" w:rsidRPr="00D271CC">
        <w:rPr>
          <w:rFonts w:ascii="Arial" w:hAnsi="Arial" w:cs="Arial"/>
          <w:i/>
          <w:color w:val="2E74B5" w:themeColor="accent1" w:themeShade="BF"/>
        </w:rPr>
        <w:t xml:space="preserve"> d) odst. 2 u formy účast na školících akcích, a to v rozsahu 8 hodin. </w:t>
      </w:r>
    </w:p>
    <w:p w:rsidR="00C77616" w:rsidRPr="00C8100E" w:rsidRDefault="00C77616" w:rsidP="00C8100E">
      <w:pPr>
        <w:pStyle w:val="Odstavecseseznamem"/>
        <w:numPr>
          <w:ilvl w:val="0"/>
          <w:numId w:val="6"/>
        </w:numPr>
        <w:ind w:left="0"/>
        <w:contextualSpacing w:val="0"/>
        <w:jc w:val="both"/>
        <w:rPr>
          <w:rFonts w:ascii="Arial" w:hAnsi="Arial" w:cs="Arial"/>
          <w:i/>
          <w:color w:val="2E74B5" w:themeColor="accent1" w:themeShade="BF"/>
        </w:rPr>
      </w:pPr>
      <w:r w:rsidRPr="00971DFE">
        <w:rPr>
          <w:rFonts w:ascii="Arial" w:hAnsi="Arial" w:cs="Arial"/>
        </w:rPr>
        <w:t>V případě, že nebude možné sehnat po určitou dobu (např. 2 měsíce) sociálního pracovníka, je možné ho „nahradit“ pracovníkem v sociálních službách? (při zachování metodického vedení sociálním pracovníkem).</w:t>
      </w:r>
      <w:r w:rsidR="00971DFE">
        <w:rPr>
          <w:rFonts w:ascii="Arial" w:hAnsi="Arial" w:cs="Arial"/>
        </w:rPr>
        <w:t xml:space="preserve"> </w:t>
      </w:r>
      <w:r w:rsidR="00C8100E" w:rsidRPr="00C8100E">
        <w:rPr>
          <w:rFonts w:ascii="Arial" w:hAnsi="Arial" w:cs="Arial"/>
          <w:i/>
          <w:color w:val="2E74B5" w:themeColor="accent1" w:themeShade="BF"/>
        </w:rPr>
        <w:t xml:space="preserve">Pozici sociálního pracovníka není možné v žádném případě nahradit pracovníkem v sociálních službách – nesplňuje odbornost (§ 110 zákona č.108/2006 </w:t>
      </w:r>
      <w:proofErr w:type="spellStart"/>
      <w:r w:rsidR="00C8100E" w:rsidRPr="00C8100E">
        <w:rPr>
          <w:rFonts w:ascii="Arial" w:hAnsi="Arial" w:cs="Arial"/>
          <w:i/>
          <w:color w:val="2E74B5" w:themeColor="accent1" w:themeShade="BF"/>
        </w:rPr>
        <w:t>Sb</w:t>
      </w:r>
      <w:proofErr w:type="spellEnd"/>
      <w:r w:rsidR="00C8100E" w:rsidRPr="00C8100E">
        <w:rPr>
          <w:rFonts w:ascii="Arial" w:hAnsi="Arial" w:cs="Arial"/>
          <w:i/>
          <w:color w:val="2E74B5" w:themeColor="accent1" w:themeShade="BF"/>
        </w:rPr>
        <w:t>, o sociálních službách).</w:t>
      </w:r>
    </w:p>
    <w:p w:rsidR="00E4077D" w:rsidRPr="00C8100E" w:rsidRDefault="00C77616" w:rsidP="00C8100E">
      <w:pPr>
        <w:pStyle w:val="Odstavecseseznamem"/>
        <w:numPr>
          <w:ilvl w:val="0"/>
          <w:numId w:val="6"/>
        </w:numPr>
        <w:ind w:left="0"/>
        <w:contextualSpacing w:val="0"/>
        <w:jc w:val="both"/>
        <w:rPr>
          <w:rFonts w:ascii="Arial" w:hAnsi="Arial" w:cs="Arial"/>
          <w:i/>
          <w:color w:val="2E74B5" w:themeColor="accent1" w:themeShade="BF"/>
        </w:rPr>
      </w:pPr>
      <w:r w:rsidRPr="00C8100E">
        <w:rPr>
          <w:rFonts w:ascii="Arial" w:hAnsi="Arial" w:cs="Arial"/>
        </w:rPr>
        <w:t xml:space="preserve">Je supervize součástí povinného vzdělávání a v jakém rozsahu hodin? </w:t>
      </w:r>
      <w:r w:rsidR="00C8100E" w:rsidRPr="00C8100E">
        <w:rPr>
          <w:rFonts w:ascii="Arial" w:hAnsi="Arial" w:cs="Arial"/>
          <w:i/>
          <w:color w:val="2E74B5" w:themeColor="accent1" w:themeShade="BF"/>
        </w:rPr>
        <w:t>Supervize není součástí povinného vzdělávání pracovníků v sociálních službách ani sociálního pracovníka, viz § 111 odst. 2 zákona č. 108/2006 Sb., o sociálních službách</w:t>
      </w:r>
      <w:r w:rsidR="00C8100E">
        <w:rPr>
          <w:rFonts w:ascii="Arial" w:hAnsi="Arial" w:cs="Arial"/>
          <w:i/>
          <w:color w:val="2E74B5" w:themeColor="accent1" w:themeShade="BF"/>
        </w:rPr>
        <w:t>.</w:t>
      </w:r>
      <w:r w:rsidR="00C8100E" w:rsidRPr="00C8100E">
        <w:rPr>
          <w:rFonts w:ascii="Arial" w:hAnsi="Arial" w:cs="Arial"/>
          <w:i/>
          <w:color w:val="2E74B5" w:themeColor="accent1" w:themeShade="BF"/>
        </w:rPr>
        <w:t xml:space="preserve"> </w:t>
      </w:r>
    </w:p>
    <w:p w:rsidR="00B00223" w:rsidRPr="00B00223" w:rsidRDefault="00B00223" w:rsidP="00B00223">
      <w:pPr>
        <w:pStyle w:val="Odstavecseseznamem"/>
        <w:numPr>
          <w:ilvl w:val="0"/>
          <w:numId w:val="6"/>
        </w:numPr>
        <w:ind w:left="0"/>
        <w:rPr>
          <w:rFonts w:ascii="Arial" w:hAnsi="Arial" w:cs="Arial"/>
          <w:i/>
          <w:color w:val="2E74B5" w:themeColor="accent1" w:themeShade="BF"/>
        </w:rPr>
      </w:pPr>
      <w:r w:rsidRPr="00B00223">
        <w:rPr>
          <w:rFonts w:ascii="Arial" w:hAnsi="Arial" w:cs="Arial"/>
        </w:rPr>
        <w:t xml:space="preserve">S kým lze sepsat smlouvu o poskytování sociální služby – s klientem od 15 let nebo až od 18 </w:t>
      </w:r>
      <w:proofErr w:type="gramStart"/>
      <w:r w:rsidRPr="00B00223">
        <w:rPr>
          <w:rFonts w:ascii="Arial" w:hAnsi="Arial" w:cs="Arial"/>
        </w:rPr>
        <w:t xml:space="preserve">let? . </w:t>
      </w:r>
      <w:r w:rsidRPr="00B00223">
        <w:rPr>
          <w:rFonts w:ascii="Arial" w:hAnsi="Arial" w:cs="Arial"/>
          <w:i/>
          <w:color w:val="2E74B5" w:themeColor="accent1" w:themeShade="BF"/>
        </w:rPr>
        <w:t>Uzavření</w:t>
      </w:r>
      <w:proofErr w:type="gramEnd"/>
      <w:r w:rsidRPr="00B00223">
        <w:rPr>
          <w:rFonts w:ascii="Arial" w:hAnsi="Arial" w:cs="Arial"/>
          <w:i/>
          <w:color w:val="2E74B5" w:themeColor="accent1" w:themeShade="BF"/>
        </w:rPr>
        <w:t xml:space="preserve"> smlouvy je právní akt. Smlouvu může uzavírat pouze osoba plně svéprávná tj. osoba, která dovršila 18 let, výjimka je stanovena</w:t>
      </w:r>
      <w:r>
        <w:rPr>
          <w:rFonts w:ascii="Arial" w:hAnsi="Arial" w:cs="Arial"/>
          <w:i/>
          <w:color w:val="2E74B5" w:themeColor="accent1" w:themeShade="BF"/>
        </w:rPr>
        <w:t xml:space="preserve"> pouze v případě, že o tom</w:t>
      </w:r>
      <w:r w:rsidRPr="00B00223">
        <w:rPr>
          <w:rFonts w:ascii="Arial" w:hAnsi="Arial" w:cs="Arial"/>
          <w:i/>
          <w:color w:val="2E74B5" w:themeColor="accent1" w:themeShade="BF"/>
        </w:rPr>
        <w:t> rozhodne soud na návrh se souhlasem zákonného zástupce a dovršením</w:t>
      </w:r>
      <w:r>
        <w:rPr>
          <w:rFonts w:ascii="Arial" w:hAnsi="Arial" w:cs="Arial"/>
          <w:i/>
          <w:color w:val="2E74B5" w:themeColor="accent1" w:themeShade="BF"/>
        </w:rPr>
        <w:t xml:space="preserve"> 16ti let věku a rovněž od 16ti </w:t>
      </w:r>
      <w:r w:rsidRPr="00B00223">
        <w:rPr>
          <w:rFonts w:ascii="Arial" w:hAnsi="Arial" w:cs="Arial"/>
          <w:i/>
          <w:color w:val="2E74B5" w:themeColor="accent1" w:themeShade="BF"/>
        </w:rPr>
        <w:t>let věku v případě uzavření manželství.</w:t>
      </w:r>
    </w:p>
    <w:p w:rsidR="00B00223" w:rsidRPr="00B00223" w:rsidRDefault="00B00223" w:rsidP="00B00223">
      <w:pPr>
        <w:pStyle w:val="Odstavecseseznamem"/>
        <w:ind w:left="0"/>
        <w:jc w:val="both"/>
        <w:rPr>
          <w:rFonts w:ascii="Arial" w:hAnsi="Arial" w:cs="Arial"/>
          <w:i/>
          <w:color w:val="2E74B5" w:themeColor="accent1" w:themeShade="BF"/>
        </w:rPr>
      </w:pPr>
      <w:r w:rsidRPr="00B00223">
        <w:rPr>
          <w:rFonts w:ascii="Arial" w:hAnsi="Arial" w:cs="Arial"/>
          <w:i/>
          <w:color w:val="2E74B5" w:themeColor="accent1" w:themeShade="BF"/>
        </w:rPr>
        <w:t>Zákon č. 108/2006 Sb., o sociálních službách jasně definuje v § 91 odst. 1 v případě jakých sociálních služeb je povinnost uzavírat smlouvy písemně, v přípa</w:t>
      </w:r>
      <w:r>
        <w:rPr>
          <w:rFonts w:ascii="Arial" w:hAnsi="Arial" w:cs="Arial"/>
          <w:i/>
          <w:color w:val="2E74B5" w:themeColor="accent1" w:themeShade="BF"/>
        </w:rPr>
        <w:t xml:space="preserve">dě jakých služeb lze </w:t>
      </w:r>
      <w:r w:rsidRPr="00B00223">
        <w:rPr>
          <w:rFonts w:ascii="Arial" w:hAnsi="Arial" w:cs="Arial"/>
          <w:i/>
          <w:color w:val="2E74B5" w:themeColor="accent1" w:themeShade="BF"/>
        </w:rPr>
        <w:t> na základě obou stran uzavřít pouze smlouvu ústně (i tak se jedná o právní akt) a v případě jakých služeb nemusí být smlouva uzavřena, respektive ex</w:t>
      </w:r>
      <w:r>
        <w:rPr>
          <w:rFonts w:ascii="Arial" w:hAnsi="Arial" w:cs="Arial"/>
          <w:i/>
          <w:color w:val="2E74B5" w:themeColor="accent1" w:themeShade="BF"/>
        </w:rPr>
        <w:t xml:space="preserve">istuje ústní dohoda </w:t>
      </w:r>
      <w:r w:rsidRPr="00B00223">
        <w:rPr>
          <w:rFonts w:ascii="Arial" w:hAnsi="Arial" w:cs="Arial"/>
          <w:i/>
          <w:color w:val="2E74B5" w:themeColor="accent1" w:themeShade="BF"/>
        </w:rPr>
        <w:t>(pr</w:t>
      </w:r>
      <w:r>
        <w:rPr>
          <w:rFonts w:ascii="Arial" w:hAnsi="Arial" w:cs="Arial"/>
          <w:i/>
          <w:color w:val="2E74B5" w:themeColor="accent1" w:themeShade="BF"/>
        </w:rPr>
        <w:t>avidla) o </w:t>
      </w:r>
      <w:r w:rsidRPr="00B00223">
        <w:rPr>
          <w:rFonts w:ascii="Arial" w:hAnsi="Arial" w:cs="Arial"/>
          <w:i/>
          <w:color w:val="2E74B5" w:themeColor="accent1" w:themeShade="BF"/>
        </w:rPr>
        <w:t>čerpání služby (např. nízkoprahová denní centra, NZDM pro děti a mládež, noclehárny).</w:t>
      </w:r>
    </w:p>
    <w:p w:rsidR="00C8100E" w:rsidRPr="00C8100E" w:rsidRDefault="00C8100E" w:rsidP="00C8100E">
      <w:pPr>
        <w:pStyle w:val="Odstavecseseznamem"/>
        <w:ind w:left="0"/>
        <w:contextualSpacing w:val="0"/>
        <w:jc w:val="both"/>
        <w:rPr>
          <w:rFonts w:ascii="Arial" w:hAnsi="Arial" w:cs="Arial"/>
        </w:rPr>
      </w:pPr>
    </w:p>
    <w:p w:rsidR="00534D93" w:rsidRPr="00597CBA" w:rsidRDefault="00534D93" w:rsidP="00534D93">
      <w:pPr>
        <w:pStyle w:val="Odstavecseseznamem"/>
        <w:spacing w:line="240" w:lineRule="auto"/>
        <w:ind w:left="0"/>
        <w:contextualSpacing w:val="0"/>
        <w:rPr>
          <w:rFonts w:ascii="Arial" w:hAnsi="Arial" w:cs="Arial"/>
          <w:b/>
          <w:i/>
        </w:rPr>
      </w:pPr>
      <w:r w:rsidRPr="004D1071">
        <w:rPr>
          <w:rFonts w:ascii="Arial" w:hAnsi="Arial" w:cs="Arial"/>
          <w:b/>
          <w:i/>
        </w:rPr>
        <w:t>Ekonomické dotazy</w:t>
      </w:r>
    </w:p>
    <w:p w:rsidR="00534D93" w:rsidRPr="00D13969" w:rsidRDefault="00534D93" w:rsidP="00534D93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</w:rPr>
      </w:pPr>
      <w:r w:rsidRPr="00D13969">
        <w:rPr>
          <w:rFonts w:ascii="Arial" w:hAnsi="Arial" w:cs="Arial"/>
        </w:rPr>
        <w:t>Jak bude řešeno navýšení osobních nákladů pracovníků služby schválené od 1. 7. 2017 a jak se bude řešit případný problém s povinným spolufinancováním? Nárůstem osobních nákladů, a tím navýšením rozpočtu, se navýší také podíl povinných 8%.</w:t>
      </w:r>
    </w:p>
    <w:p w:rsidR="00534D93" w:rsidRDefault="00534D93" w:rsidP="00534D93">
      <w:pPr>
        <w:jc w:val="both"/>
        <w:rPr>
          <w:rFonts w:ascii="Arial" w:hAnsi="Arial" w:cs="Arial"/>
          <w:i/>
          <w:color w:val="4472C4" w:themeColor="accent5"/>
        </w:rPr>
      </w:pPr>
      <w:r w:rsidRPr="00D13969">
        <w:rPr>
          <w:rFonts w:ascii="Arial" w:hAnsi="Arial" w:cs="Arial"/>
          <w:i/>
          <w:color w:val="4472C4" w:themeColor="accent5"/>
        </w:rPr>
        <w:t xml:space="preserve">Společně s průběžnou zprávou o realizaci budou poskytovatelé dokládat také </w:t>
      </w:r>
      <w:proofErr w:type="gramStart"/>
      <w:r w:rsidRPr="00D13969">
        <w:rPr>
          <w:rFonts w:ascii="Arial" w:hAnsi="Arial" w:cs="Arial"/>
          <w:i/>
          <w:color w:val="4472C4" w:themeColor="accent5"/>
        </w:rPr>
        <w:t>přílohu</w:t>
      </w:r>
      <w:r>
        <w:rPr>
          <w:rFonts w:ascii="Arial" w:hAnsi="Arial" w:cs="Arial"/>
          <w:i/>
          <w:color w:val="4472C4" w:themeColor="accent5"/>
        </w:rPr>
        <w:t xml:space="preserve"> D </w:t>
      </w:r>
      <w:r w:rsidRPr="00D13969">
        <w:rPr>
          <w:rFonts w:ascii="Arial" w:hAnsi="Arial" w:cs="Arial"/>
          <w:i/>
          <w:color w:val="4472C4" w:themeColor="accent5"/>
        </w:rPr>
        <w:t xml:space="preserve"> „Personální</w:t>
      </w:r>
      <w:proofErr w:type="gramEnd"/>
      <w:r w:rsidRPr="00D13969">
        <w:rPr>
          <w:rFonts w:ascii="Arial" w:hAnsi="Arial" w:cs="Arial"/>
          <w:i/>
          <w:color w:val="4472C4" w:themeColor="accent5"/>
        </w:rPr>
        <w:t xml:space="preserve"> zajištění služby“, ve kterém vyčíslí navýšení mzdových nákladů od 1. 7. 2017. Bude přepočítána vyrovnávací platba s navýšenými mzdovými limity a dopočítána výše podpory.</w:t>
      </w:r>
      <w:r>
        <w:rPr>
          <w:rFonts w:ascii="Arial" w:hAnsi="Arial" w:cs="Arial"/>
          <w:i/>
          <w:color w:val="4472C4" w:themeColor="accent5"/>
        </w:rPr>
        <w:t xml:space="preserve"> </w:t>
      </w:r>
    </w:p>
    <w:p w:rsidR="00534D93" w:rsidRDefault="00534D93" w:rsidP="00534D93">
      <w:pPr>
        <w:jc w:val="both"/>
        <w:rPr>
          <w:rFonts w:ascii="Arial" w:hAnsi="Arial" w:cs="Arial"/>
          <w:i/>
          <w:color w:val="4472C4" w:themeColor="accent5"/>
        </w:rPr>
      </w:pPr>
      <w:r>
        <w:rPr>
          <w:rFonts w:ascii="Arial" w:hAnsi="Arial" w:cs="Arial"/>
          <w:i/>
          <w:color w:val="4472C4" w:themeColor="accent5"/>
        </w:rPr>
        <w:t xml:space="preserve">V rámci každé roční zprávy o realizaci a v rámci závěrečné zprávy o realizaci je Příjemce povinen prokázat, že dodržel maximální možný podíl dotace z programu POSOSUK 2 </w:t>
      </w:r>
      <w:r w:rsidR="0072665E">
        <w:rPr>
          <w:rFonts w:ascii="Arial" w:hAnsi="Arial" w:cs="Arial"/>
          <w:i/>
          <w:color w:val="4472C4" w:themeColor="accent5"/>
        </w:rPr>
        <w:br/>
      </w:r>
      <w:r>
        <w:rPr>
          <w:rFonts w:ascii="Arial" w:hAnsi="Arial" w:cs="Arial"/>
          <w:i/>
          <w:color w:val="4472C4" w:themeColor="accent5"/>
        </w:rPr>
        <w:t xml:space="preserve">na celkových nákladech služby, který byl Poskytovatelem stanoven ve vyhlášení programu POSOSUK 2 ve výši 92 %. Tato podmínka musí být naplněna po celou dobu realizace programu POSOSUK 2. Toto znamená, že dotace z rozpočtu Ústeckého kraje v rámci </w:t>
      </w:r>
      <w:r>
        <w:rPr>
          <w:rFonts w:ascii="Arial" w:hAnsi="Arial" w:cs="Arial"/>
          <w:i/>
          <w:color w:val="4472C4" w:themeColor="accent5"/>
        </w:rPr>
        <w:lastRenderedPageBreak/>
        <w:t xml:space="preserve">programu POSOSUK 2 tvoří maximálně 92 % z celkových nákladů sociální služby vykázaných v roční zprávě o realizaci za uplynulé období či v závěrečné zprávě. </w:t>
      </w:r>
    </w:p>
    <w:p w:rsidR="00534D93" w:rsidRPr="00D13969" w:rsidRDefault="00534D93" w:rsidP="00534D93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</w:rPr>
      </w:pPr>
      <w:r w:rsidRPr="00D13969">
        <w:rPr>
          <w:rFonts w:ascii="Arial" w:hAnsi="Arial" w:cs="Arial"/>
        </w:rPr>
        <w:t xml:space="preserve">Kolik procent činí nepřímé náklady z celkových finančních prostředků? </w:t>
      </w:r>
    </w:p>
    <w:p w:rsidR="00534D93" w:rsidRPr="00D13969" w:rsidRDefault="00534D93" w:rsidP="00534D93">
      <w:pPr>
        <w:jc w:val="both"/>
        <w:rPr>
          <w:rFonts w:ascii="Arial" w:hAnsi="Arial" w:cs="Arial"/>
          <w:i/>
          <w:color w:val="4472C4" w:themeColor="accent5"/>
        </w:rPr>
      </w:pPr>
      <w:r w:rsidRPr="00D13969">
        <w:rPr>
          <w:rFonts w:ascii="Arial" w:hAnsi="Arial" w:cs="Arial"/>
          <w:i/>
          <w:color w:val="4472C4" w:themeColor="accent5"/>
        </w:rPr>
        <w:t>Nejsou nijak určeny. Ve výpočtu vyrovnávací platby je pouze počítáno se 30 % ostatních nákladů.</w:t>
      </w:r>
    </w:p>
    <w:p w:rsidR="00534D93" w:rsidRPr="00325018" w:rsidRDefault="00534D93" w:rsidP="00534D93">
      <w:pPr>
        <w:pStyle w:val="Odstavecseseznamem"/>
        <w:numPr>
          <w:ilvl w:val="0"/>
          <w:numId w:val="10"/>
        </w:numPr>
        <w:contextualSpacing w:val="0"/>
        <w:jc w:val="both"/>
        <w:rPr>
          <w:rFonts w:ascii="Arial" w:hAnsi="Arial" w:cs="Arial"/>
          <w:i/>
        </w:rPr>
      </w:pPr>
      <w:r w:rsidRPr="00C3798A">
        <w:rPr>
          <w:rFonts w:ascii="Arial" w:hAnsi="Arial" w:cs="Arial"/>
        </w:rPr>
        <w:t xml:space="preserve">Lze vykázat jízdenky MHD z cesty pracovníka ke klientovi v rámci cestovného jako náklad projektu? </w:t>
      </w:r>
    </w:p>
    <w:p w:rsidR="00534D93" w:rsidRPr="00D13969" w:rsidRDefault="00534D93" w:rsidP="00534D93">
      <w:pPr>
        <w:jc w:val="both"/>
        <w:rPr>
          <w:rFonts w:ascii="Arial" w:hAnsi="Arial" w:cs="Arial"/>
          <w:i/>
          <w:color w:val="4472C4" w:themeColor="accent5"/>
        </w:rPr>
      </w:pPr>
      <w:r w:rsidRPr="00D13969">
        <w:rPr>
          <w:rFonts w:ascii="Arial" w:hAnsi="Arial" w:cs="Arial"/>
          <w:i/>
          <w:color w:val="4472C4" w:themeColor="accent5"/>
        </w:rPr>
        <w:t xml:space="preserve">Ano, lze. </w:t>
      </w:r>
    </w:p>
    <w:p w:rsidR="00534D93" w:rsidRDefault="00534D93" w:rsidP="00534D93">
      <w:pPr>
        <w:pStyle w:val="Odstavecseseznamem"/>
        <w:numPr>
          <w:ilvl w:val="0"/>
          <w:numId w:val="10"/>
        </w:numPr>
        <w:contextualSpacing w:val="0"/>
        <w:jc w:val="both"/>
        <w:rPr>
          <w:rFonts w:ascii="Arial" w:hAnsi="Arial" w:cs="Arial"/>
        </w:rPr>
      </w:pPr>
      <w:r w:rsidRPr="00C3798A">
        <w:rPr>
          <w:rFonts w:ascii="Arial" w:hAnsi="Arial" w:cs="Arial"/>
        </w:rPr>
        <w:t>Je možné získávat další finanční prostředky z jiných zdrojů? Jak je to po případném získání finančn</w:t>
      </w:r>
      <w:r>
        <w:rPr>
          <w:rFonts w:ascii="Arial" w:hAnsi="Arial" w:cs="Arial"/>
        </w:rPr>
        <w:t>ích prostředků s jejich limity?</w:t>
      </w:r>
    </w:p>
    <w:p w:rsidR="00534D93" w:rsidRDefault="00534D93" w:rsidP="00534D93">
      <w:pPr>
        <w:jc w:val="both"/>
        <w:rPr>
          <w:rFonts w:ascii="Arial" w:hAnsi="Arial" w:cs="Arial"/>
          <w:i/>
          <w:color w:val="4472C4" w:themeColor="accent5"/>
        </w:rPr>
      </w:pPr>
      <w:r>
        <w:rPr>
          <w:rFonts w:ascii="Arial" w:hAnsi="Arial" w:cs="Arial"/>
          <w:i/>
          <w:color w:val="4472C4" w:themeColor="accent5"/>
        </w:rPr>
        <w:t xml:space="preserve">Je možné na sociální službu získávat další finanční prostředky, limitem je výše vyrovnávací platby, která nesmí být překročena, v opačném případě dojde k nadměrnému vyrovnání. </w:t>
      </w:r>
      <w:r w:rsidR="0072665E">
        <w:rPr>
          <w:rFonts w:ascii="Arial" w:hAnsi="Arial" w:cs="Arial"/>
          <w:i/>
          <w:color w:val="4472C4" w:themeColor="accent5"/>
        </w:rPr>
        <w:br/>
      </w:r>
      <w:r>
        <w:rPr>
          <w:rFonts w:ascii="Arial" w:hAnsi="Arial" w:cs="Arial"/>
          <w:i/>
          <w:color w:val="4472C4" w:themeColor="accent5"/>
        </w:rPr>
        <w:t>Viz odpověď na otázku číslo 1.</w:t>
      </w:r>
    </w:p>
    <w:p w:rsidR="00534D93" w:rsidRDefault="00534D93" w:rsidP="00534D93">
      <w:pPr>
        <w:pStyle w:val="Odstavecseseznamem"/>
        <w:numPr>
          <w:ilvl w:val="0"/>
          <w:numId w:val="10"/>
        </w:numPr>
        <w:contextualSpacing w:val="0"/>
        <w:jc w:val="both"/>
        <w:rPr>
          <w:rFonts w:ascii="Arial" w:hAnsi="Arial" w:cs="Arial"/>
        </w:rPr>
      </w:pPr>
      <w:r w:rsidRPr="00C3798A">
        <w:rPr>
          <w:rFonts w:ascii="Arial" w:hAnsi="Arial" w:cs="Arial"/>
        </w:rPr>
        <w:t xml:space="preserve">Jaké přesuny schválených finančních prostředků jsou možné? (např. z vedoucího pracovníka na sociálního pracovníka …) </w:t>
      </w:r>
    </w:p>
    <w:p w:rsidR="00534D93" w:rsidRDefault="00534D93" w:rsidP="00534D93">
      <w:pPr>
        <w:jc w:val="both"/>
        <w:rPr>
          <w:rFonts w:ascii="Arial" w:hAnsi="Arial" w:cs="Arial"/>
          <w:i/>
          <w:color w:val="4472C4" w:themeColor="accent5"/>
        </w:rPr>
      </w:pPr>
      <w:r>
        <w:rPr>
          <w:rFonts w:ascii="Arial" w:hAnsi="Arial" w:cs="Arial"/>
          <w:i/>
          <w:color w:val="4472C4" w:themeColor="accent5"/>
        </w:rPr>
        <w:t>P</w:t>
      </w:r>
      <w:r w:rsidRPr="00F127DA">
        <w:rPr>
          <w:rFonts w:ascii="Arial" w:hAnsi="Arial" w:cs="Arial"/>
          <w:i/>
          <w:color w:val="4472C4" w:themeColor="accent5"/>
        </w:rPr>
        <w:t xml:space="preserve">řesuny finančních prostředků v rámci jednoho druhu – osobní náklady nejsou omezeny. </w:t>
      </w:r>
      <w:r w:rsidR="0072665E">
        <w:rPr>
          <w:rFonts w:ascii="Arial" w:hAnsi="Arial" w:cs="Arial"/>
          <w:i/>
          <w:color w:val="4472C4" w:themeColor="accent5"/>
        </w:rPr>
        <w:br/>
      </w:r>
      <w:r w:rsidRPr="00F127DA">
        <w:rPr>
          <w:rFonts w:ascii="Arial" w:hAnsi="Arial" w:cs="Arial"/>
          <w:i/>
          <w:color w:val="4472C4" w:themeColor="accent5"/>
        </w:rPr>
        <w:t>Je pouze nutné sledovat, zda čerpané prostředky např. na daného pracovníka nepřekročí „uznatelné mzdové náklady“, které jsou vyvěšeny na webových stránkách kraje.</w:t>
      </w:r>
      <w:r>
        <w:rPr>
          <w:rFonts w:ascii="Arial" w:hAnsi="Arial" w:cs="Arial"/>
          <w:i/>
          <w:color w:val="4472C4" w:themeColor="accent5"/>
        </w:rPr>
        <w:t xml:space="preserve"> Při přesunu finančních prostředků je nutné dodržet povinnosti uvedené ve Smlouvě v části III., odst. 6.</w:t>
      </w:r>
    </w:p>
    <w:p w:rsidR="00534D93" w:rsidRDefault="00534D93" w:rsidP="00534D93">
      <w:pPr>
        <w:pStyle w:val="Odstavecseseznamem"/>
        <w:numPr>
          <w:ilvl w:val="0"/>
          <w:numId w:val="10"/>
        </w:numPr>
        <w:contextualSpacing w:val="0"/>
        <w:jc w:val="both"/>
        <w:rPr>
          <w:rFonts w:ascii="Arial" w:hAnsi="Arial" w:cs="Arial"/>
        </w:rPr>
      </w:pPr>
      <w:r w:rsidRPr="00C3798A">
        <w:rPr>
          <w:rFonts w:ascii="Arial" w:hAnsi="Arial" w:cs="Arial"/>
        </w:rPr>
        <w:t>Jak má být postupováno při zjištění, že je třeba udělat přesuny mezi položkami v rozpočtu? Jsou</w:t>
      </w:r>
      <w:r>
        <w:rPr>
          <w:rFonts w:ascii="Arial" w:hAnsi="Arial" w:cs="Arial"/>
        </w:rPr>
        <w:t xml:space="preserve"> nějaké termíny v tomto případě? Jakým způsobem budou probíhat změny rozpočtu služby na další rok?</w:t>
      </w:r>
    </w:p>
    <w:p w:rsidR="00534D93" w:rsidRDefault="00534D93" w:rsidP="00534D93">
      <w:pPr>
        <w:jc w:val="both"/>
        <w:rPr>
          <w:rFonts w:ascii="Arial" w:hAnsi="Arial" w:cs="Arial"/>
          <w:i/>
          <w:color w:val="4472C4" w:themeColor="accent5"/>
        </w:rPr>
      </w:pPr>
      <w:r>
        <w:rPr>
          <w:rFonts w:ascii="Arial" w:hAnsi="Arial" w:cs="Arial"/>
          <w:i/>
          <w:color w:val="4472C4" w:themeColor="accent5"/>
        </w:rPr>
        <w:t>V</w:t>
      </w:r>
      <w:r w:rsidRPr="00A87949">
        <w:rPr>
          <w:rFonts w:ascii="Arial" w:hAnsi="Arial" w:cs="Arial"/>
          <w:i/>
          <w:color w:val="4472C4" w:themeColor="accent5"/>
        </w:rPr>
        <w:t>ždy se zprávou o realizaci (dle termínů určených ve „Smlouvě o poskytnutí neinvestiční dotace na podporu soci</w:t>
      </w:r>
      <w:r>
        <w:rPr>
          <w:rFonts w:ascii="Arial" w:hAnsi="Arial" w:cs="Arial"/>
          <w:i/>
          <w:color w:val="4472C4" w:themeColor="accent5"/>
        </w:rPr>
        <w:t xml:space="preserve">álních služeb“), je možné podat </w:t>
      </w:r>
      <w:r w:rsidRPr="00A87949">
        <w:rPr>
          <w:rFonts w:ascii="Arial" w:hAnsi="Arial" w:cs="Arial"/>
          <w:i/>
          <w:color w:val="4472C4" w:themeColor="accent5"/>
        </w:rPr>
        <w:t xml:space="preserve">hlášení změn týkající se změn </w:t>
      </w:r>
      <w:r w:rsidR="0072665E">
        <w:rPr>
          <w:rFonts w:ascii="Arial" w:hAnsi="Arial" w:cs="Arial"/>
          <w:i/>
          <w:color w:val="4472C4" w:themeColor="accent5"/>
        </w:rPr>
        <w:br/>
      </w:r>
      <w:r w:rsidRPr="00A87949">
        <w:rPr>
          <w:rFonts w:ascii="Arial" w:hAnsi="Arial" w:cs="Arial"/>
          <w:i/>
          <w:color w:val="4472C4" w:themeColor="accent5"/>
        </w:rPr>
        <w:t>a přesunů v</w:t>
      </w:r>
      <w:r>
        <w:rPr>
          <w:rFonts w:ascii="Arial" w:hAnsi="Arial" w:cs="Arial"/>
          <w:i/>
          <w:color w:val="4472C4" w:themeColor="accent5"/>
        </w:rPr>
        <w:t> </w:t>
      </w:r>
      <w:r w:rsidRPr="00A87949">
        <w:rPr>
          <w:rFonts w:ascii="Arial" w:hAnsi="Arial" w:cs="Arial"/>
          <w:i/>
          <w:color w:val="4472C4" w:themeColor="accent5"/>
        </w:rPr>
        <w:t>rozpočtu</w:t>
      </w:r>
      <w:r>
        <w:rPr>
          <w:rFonts w:ascii="Arial" w:hAnsi="Arial" w:cs="Arial"/>
          <w:i/>
          <w:color w:val="4472C4" w:themeColor="accent5"/>
        </w:rPr>
        <w:t xml:space="preserve"> (formulář hlášení změn)</w:t>
      </w:r>
      <w:r w:rsidRPr="00A87949">
        <w:rPr>
          <w:rFonts w:ascii="Arial" w:hAnsi="Arial" w:cs="Arial"/>
          <w:i/>
          <w:color w:val="4472C4" w:themeColor="accent5"/>
        </w:rPr>
        <w:t>. Změny budou posouzeny projektovým týmem a poskytovatel bude písemně informován.</w:t>
      </w:r>
      <w:r>
        <w:rPr>
          <w:rFonts w:ascii="Arial" w:hAnsi="Arial" w:cs="Arial"/>
          <w:i/>
          <w:color w:val="4472C4" w:themeColor="accent5"/>
        </w:rPr>
        <w:t xml:space="preserve"> Případné další termíny budou řešeny individuálně.</w:t>
      </w:r>
    </w:p>
    <w:p w:rsidR="00534D93" w:rsidRPr="00A87949" w:rsidRDefault="00534D93" w:rsidP="00534D93">
      <w:pPr>
        <w:jc w:val="both"/>
        <w:rPr>
          <w:rFonts w:ascii="Arial" w:hAnsi="Arial" w:cs="Arial"/>
          <w:i/>
          <w:color w:val="4472C4" w:themeColor="accent5"/>
        </w:rPr>
      </w:pPr>
      <w:r w:rsidRPr="00A87949">
        <w:rPr>
          <w:rFonts w:ascii="Arial" w:hAnsi="Arial" w:cs="Arial"/>
          <w:i/>
          <w:color w:val="4472C4" w:themeColor="accent5"/>
        </w:rPr>
        <w:t xml:space="preserve">Na základně roční zprávy o realizaci, jejíž součástí bude také vyúčtování dotace </w:t>
      </w:r>
      <w:r w:rsidR="0072665E">
        <w:rPr>
          <w:rFonts w:ascii="Arial" w:hAnsi="Arial" w:cs="Arial"/>
          <w:i/>
          <w:color w:val="4472C4" w:themeColor="accent5"/>
        </w:rPr>
        <w:br/>
      </w:r>
      <w:r w:rsidRPr="00A87949">
        <w:rPr>
          <w:rFonts w:ascii="Arial" w:hAnsi="Arial" w:cs="Arial"/>
          <w:i/>
          <w:color w:val="4472C4" w:themeColor="accent5"/>
        </w:rPr>
        <w:t>a vyrovnávací platby, bude vyrovnávací platba přepočtena a případně upravena výše dotace na následující rok. Po stanovení upravené výše dotace bude určen termín pro zaslání nákladového rozpočtu pro daný dotační rok.</w:t>
      </w:r>
    </w:p>
    <w:p w:rsidR="00534D93" w:rsidRDefault="00534D93" w:rsidP="00534D93">
      <w:pPr>
        <w:pStyle w:val="Odstavecseseznamem"/>
        <w:numPr>
          <w:ilvl w:val="0"/>
          <w:numId w:val="10"/>
        </w:numPr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Bude se dělat průběžné vyúčtování jako ve velkém dotačním titulu?</w:t>
      </w:r>
    </w:p>
    <w:p w:rsidR="00534D93" w:rsidRPr="00A87949" w:rsidRDefault="00534D93" w:rsidP="00534D93">
      <w:pPr>
        <w:jc w:val="both"/>
        <w:rPr>
          <w:rFonts w:ascii="Arial" w:hAnsi="Arial" w:cs="Arial"/>
          <w:i/>
          <w:color w:val="4472C4" w:themeColor="accent5"/>
        </w:rPr>
      </w:pPr>
      <w:r>
        <w:rPr>
          <w:rFonts w:ascii="Arial" w:hAnsi="Arial" w:cs="Arial"/>
          <w:i/>
          <w:color w:val="4472C4" w:themeColor="accent5"/>
        </w:rPr>
        <w:t>P</w:t>
      </w:r>
      <w:r w:rsidRPr="00A87949">
        <w:rPr>
          <w:rFonts w:ascii="Arial" w:hAnsi="Arial" w:cs="Arial"/>
          <w:i/>
          <w:color w:val="4472C4" w:themeColor="accent5"/>
        </w:rPr>
        <w:t>růběžné vyúčtování v rámci projektu POSOSUK 2 nebude.</w:t>
      </w:r>
    </w:p>
    <w:p w:rsidR="00534D93" w:rsidRDefault="00534D93" w:rsidP="00534D93">
      <w:pPr>
        <w:pStyle w:val="Odstavecseseznamem"/>
        <w:numPr>
          <w:ilvl w:val="0"/>
          <w:numId w:val="10"/>
        </w:numPr>
        <w:contextualSpacing w:val="0"/>
        <w:jc w:val="both"/>
        <w:rPr>
          <w:rFonts w:ascii="Arial" w:hAnsi="Arial" w:cs="Arial"/>
        </w:rPr>
      </w:pPr>
      <w:r w:rsidRPr="00C3798A">
        <w:rPr>
          <w:rFonts w:ascii="Arial" w:hAnsi="Arial" w:cs="Arial"/>
        </w:rPr>
        <w:t xml:space="preserve">Je požadováno vysvětlit, jak bylo dosaženo částky vyrovnávací platby. Některé organizace obdržely výrazně nižší finanční prostředky i přes dodržení finančních limitů </w:t>
      </w:r>
      <w:r w:rsidR="0072665E">
        <w:rPr>
          <w:rFonts w:ascii="Arial" w:hAnsi="Arial" w:cs="Arial"/>
        </w:rPr>
        <w:br/>
      </w:r>
      <w:r w:rsidRPr="00C3798A">
        <w:rPr>
          <w:rFonts w:ascii="Arial" w:hAnsi="Arial" w:cs="Arial"/>
        </w:rPr>
        <w:t>na jednotlivých položkách.</w:t>
      </w:r>
    </w:p>
    <w:p w:rsidR="00534D93" w:rsidRPr="00965CA0" w:rsidRDefault="00534D93" w:rsidP="00534D93">
      <w:pPr>
        <w:jc w:val="both"/>
        <w:rPr>
          <w:rFonts w:ascii="Arial" w:hAnsi="Arial" w:cs="Arial"/>
          <w:i/>
          <w:color w:val="4472C4" w:themeColor="accent5"/>
        </w:rPr>
      </w:pPr>
      <w:r w:rsidRPr="00965CA0">
        <w:rPr>
          <w:rFonts w:ascii="Arial" w:hAnsi="Arial" w:cs="Arial"/>
          <w:i/>
          <w:color w:val="4472C4" w:themeColor="accent5"/>
        </w:rPr>
        <w:t xml:space="preserve">Vyrovnávací platba byla vypočtena stejným způsobem jako v rámci programu „Podpora sociálních služeb v Ústeckém kraji 2017“ – Velký dotační titul). Výpočet průměrných nákladů </w:t>
      </w:r>
      <w:r w:rsidRPr="00965CA0">
        <w:rPr>
          <w:rFonts w:ascii="Arial" w:hAnsi="Arial" w:cs="Arial"/>
          <w:i/>
          <w:color w:val="4472C4" w:themeColor="accent5"/>
        </w:rPr>
        <w:lastRenderedPageBreak/>
        <w:t xml:space="preserve">vychází ze SRPSS a zdroje byly čerpány ze závěrečného čerpání dotace za rok 2015. </w:t>
      </w:r>
      <w:r w:rsidR="0072665E">
        <w:rPr>
          <w:rFonts w:ascii="Arial" w:hAnsi="Arial" w:cs="Arial"/>
          <w:i/>
          <w:color w:val="4472C4" w:themeColor="accent5"/>
        </w:rPr>
        <w:br/>
      </w:r>
      <w:r w:rsidRPr="00965CA0">
        <w:rPr>
          <w:rFonts w:ascii="Arial" w:hAnsi="Arial" w:cs="Arial"/>
          <w:i/>
          <w:color w:val="4472C4" w:themeColor="accent5"/>
        </w:rPr>
        <w:t>Pro další dotační rok dojde k přepočtu vyrovnávací platby na základě nových údajů – započtení zdrojů z roku 2016.</w:t>
      </w:r>
    </w:p>
    <w:p w:rsidR="00534D93" w:rsidRDefault="00534D93" w:rsidP="00534D93">
      <w:pPr>
        <w:pStyle w:val="Odstavecseseznamem"/>
        <w:numPr>
          <w:ilvl w:val="0"/>
          <w:numId w:val="10"/>
        </w:numPr>
        <w:contextualSpacing w:val="0"/>
        <w:jc w:val="both"/>
        <w:rPr>
          <w:rFonts w:ascii="Arial" w:hAnsi="Arial" w:cs="Arial"/>
        </w:rPr>
      </w:pPr>
      <w:r w:rsidRPr="00C3798A">
        <w:rPr>
          <w:rFonts w:ascii="Arial" w:hAnsi="Arial" w:cs="Arial"/>
        </w:rPr>
        <w:t xml:space="preserve">Bude stačit pro ekonomickou kontrolu sjetina z ekonomického programu? </w:t>
      </w:r>
    </w:p>
    <w:p w:rsidR="00534D93" w:rsidRPr="00965CA0" w:rsidRDefault="00534D93" w:rsidP="00534D93">
      <w:pPr>
        <w:jc w:val="both"/>
        <w:rPr>
          <w:rFonts w:ascii="Arial" w:hAnsi="Arial" w:cs="Arial"/>
          <w:color w:val="4472C4" w:themeColor="accent5"/>
        </w:rPr>
      </w:pPr>
      <w:r w:rsidRPr="00965CA0">
        <w:rPr>
          <w:rFonts w:ascii="Arial" w:hAnsi="Arial" w:cs="Arial"/>
          <w:i/>
          <w:color w:val="4472C4" w:themeColor="accent5"/>
        </w:rPr>
        <w:t>Ano, pokud bude obsahovat zřejmé údaje, kdy a co bylo proplaceno a bude vyčle</w:t>
      </w:r>
      <w:r>
        <w:rPr>
          <w:rFonts w:ascii="Arial" w:hAnsi="Arial" w:cs="Arial"/>
          <w:i/>
          <w:color w:val="4472C4" w:themeColor="accent5"/>
        </w:rPr>
        <w:t>něno jako samostatné středisko (</w:t>
      </w:r>
      <w:r w:rsidRPr="00965CA0">
        <w:rPr>
          <w:rFonts w:ascii="Arial" w:hAnsi="Arial" w:cs="Arial"/>
          <w:i/>
          <w:color w:val="4472C4" w:themeColor="accent5"/>
        </w:rPr>
        <w:t>upozornění, že všechny účetní doklady je třeba označit dle požadavků uvedených ve smlouvě o poskytnutí dotace).</w:t>
      </w:r>
      <w:r w:rsidRPr="00965CA0">
        <w:rPr>
          <w:rFonts w:ascii="Arial" w:hAnsi="Arial" w:cs="Arial"/>
          <w:color w:val="4472C4" w:themeColor="accent5"/>
        </w:rPr>
        <w:t xml:space="preserve"> </w:t>
      </w:r>
    </w:p>
    <w:p w:rsidR="00534D93" w:rsidRPr="00325018" w:rsidRDefault="00534D93" w:rsidP="00534D93">
      <w:pPr>
        <w:pStyle w:val="Odstavecseseznamem"/>
        <w:numPr>
          <w:ilvl w:val="0"/>
          <w:numId w:val="10"/>
        </w:numPr>
        <w:contextualSpacing w:val="0"/>
        <w:jc w:val="both"/>
        <w:rPr>
          <w:rFonts w:ascii="Arial" w:hAnsi="Arial" w:cs="Arial"/>
          <w:i/>
        </w:rPr>
      </w:pPr>
      <w:r w:rsidRPr="00C3798A">
        <w:rPr>
          <w:rFonts w:ascii="Arial" w:hAnsi="Arial" w:cs="Arial"/>
        </w:rPr>
        <w:t xml:space="preserve">Lze zaměstnancům vyplácet odměny? </w:t>
      </w:r>
    </w:p>
    <w:p w:rsidR="00534D93" w:rsidRPr="00965CA0" w:rsidRDefault="00534D93" w:rsidP="00534D93">
      <w:pPr>
        <w:jc w:val="both"/>
        <w:rPr>
          <w:rFonts w:ascii="Arial" w:hAnsi="Arial" w:cs="Arial"/>
          <w:i/>
          <w:color w:val="4472C4" w:themeColor="accent5"/>
        </w:rPr>
      </w:pPr>
      <w:r w:rsidRPr="00965CA0">
        <w:rPr>
          <w:rFonts w:ascii="Arial" w:hAnsi="Arial" w:cs="Arial"/>
          <w:i/>
          <w:color w:val="4472C4" w:themeColor="accent5"/>
        </w:rPr>
        <w:t xml:space="preserve">Pokud nebude přesažena daná </w:t>
      </w:r>
      <w:proofErr w:type="spellStart"/>
      <w:r w:rsidRPr="00965CA0">
        <w:rPr>
          <w:rFonts w:ascii="Arial" w:hAnsi="Arial" w:cs="Arial"/>
          <w:i/>
          <w:color w:val="4472C4" w:themeColor="accent5"/>
        </w:rPr>
        <w:t>superhrubá</w:t>
      </w:r>
      <w:proofErr w:type="spellEnd"/>
      <w:r w:rsidRPr="00965CA0">
        <w:rPr>
          <w:rFonts w:ascii="Arial" w:hAnsi="Arial" w:cs="Arial"/>
          <w:i/>
          <w:color w:val="4472C4" w:themeColor="accent5"/>
        </w:rPr>
        <w:t xml:space="preserve"> mzda na konkrétní pozici a úvazek v rámci 1 roku, tak ano.</w:t>
      </w:r>
      <w:r w:rsidRPr="00965CA0">
        <w:rPr>
          <w:rFonts w:ascii="Arial" w:hAnsi="Arial" w:cs="Arial"/>
          <w:color w:val="4472C4" w:themeColor="accent5"/>
        </w:rPr>
        <w:t xml:space="preserve"> </w:t>
      </w:r>
    </w:p>
    <w:p w:rsidR="00534D93" w:rsidRPr="00325018" w:rsidRDefault="00534D93" w:rsidP="00534D93">
      <w:pPr>
        <w:pStyle w:val="Odstavecseseznamem"/>
        <w:numPr>
          <w:ilvl w:val="0"/>
          <w:numId w:val="10"/>
        </w:numPr>
        <w:contextualSpacing w:val="0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Dotaz k termínu vyúčtování – ve smlouvě je jiný datum předložení vyúčtování, než v metodice (20. 1. x 31. 1.), který platí?</w:t>
      </w:r>
    </w:p>
    <w:p w:rsidR="00534D93" w:rsidRPr="00965CA0" w:rsidRDefault="00534D93" w:rsidP="00534D93">
      <w:pPr>
        <w:jc w:val="both"/>
        <w:rPr>
          <w:rFonts w:ascii="Arial" w:hAnsi="Arial" w:cs="Arial"/>
          <w:i/>
          <w:color w:val="4472C4" w:themeColor="accent5"/>
        </w:rPr>
      </w:pPr>
      <w:r>
        <w:rPr>
          <w:rFonts w:ascii="Arial" w:hAnsi="Arial" w:cs="Arial"/>
          <w:i/>
          <w:color w:val="4472C4" w:themeColor="accent5"/>
        </w:rPr>
        <w:t>P</w:t>
      </w:r>
      <w:r w:rsidRPr="00965CA0">
        <w:rPr>
          <w:rFonts w:ascii="Arial" w:hAnsi="Arial" w:cs="Arial"/>
          <w:i/>
          <w:color w:val="4472C4" w:themeColor="accent5"/>
        </w:rPr>
        <w:t>latný je termín ve Smlouvě – 31. 1.</w:t>
      </w:r>
    </w:p>
    <w:p w:rsidR="00534D93" w:rsidRDefault="00534D93" w:rsidP="00534D93">
      <w:pPr>
        <w:pStyle w:val="Odstavecseseznamem"/>
        <w:numPr>
          <w:ilvl w:val="0"/>
          <w:numId w:val="10"/>
        </w:numPr>
        <w:contextualSpacing w:val="0"/>
        <w:jc w:val="both"/>
        <w:rPr>
          <w:rFonts w:ascii="Arial" w:hAnsi="Arial" w:cs="Arial"/>
        </w:rPr>
      </w:pPr>
      <w:r w:rsidRPr="00965CA0">
        <w:rPr>
          <w:rFonts w:ascii="Arial" w:hAnsi="Arial" w:cs="Arial"/>
        </w:rPr>
        <w:t xml:space="preserve">V rámci podávání projektu POSOSUK 2 jsme byli před podáváním žádosti informováni </w:t>
      </w:r>
      <w:r w:rsidR="00E80E2C">
        <w:rPr>
          <w:rFonts w:ascii="Arial" w:hAnsi="Arial" w:cs="Arial"/>
        </w:rPr>
        <w:br/>
      </w:r>
      <w:r w:rsidRPr="00965CA0">
        <w:rPr>
          <w:rFonts w:ascii="Arial" w:hAnsi="Arial" w:cs="Arial"/>
        </w:rPr>
        <w:t>o tom, že by mělo být otevřené tzv. druhé kolo v rámci této výzvy, především s ohle</w:t>
      </w:r>
      <w:r>
        <w:rPr>
          <w:rFonts w:ascii="Arial" w:hAnsi="Arial" w:cs="Arial"/>
        </w:rPr>
        <w:t>dem na možné změny v síti u sociálních</w:t>
      </w:r>
      <w:r w:rsidRPr="00965CA0">
        <w:rPr>
          <w:rFonts w:ascii="Arial" w:hAnsi="Arial" w:cs="Arial"/>
        </w:rPr>
        <w:t xml:space="preserve"> služeb, které si mohli žádat, platných od ledna roku 2018, apod. Máte prosím nějaké bližší informace o tom, že by se nějaké 2. kolo mělo realizova</w:t>
      </w:r>
      <w:r>
        <w:rPr>
          <w:rFonts w:ascii="Arial" w:hAnsi="Arial" w:cs="Arial"/>
        </w:rPr>
        <w:t>t?</w:t>
      </w:r>
    </w:p>
    <w:p w:rsidR="00534D93" w:rsidRPr="0072665E" w:rsidRDefault="0072665E" w:rsidP="00534D93">
      <w:pPr>
        <w:jc w:val="both"/>
        <w:rPr>
          <w:rFonts w:ascii="Arial" w:hAnsi="Arial" w:cs="Arial"/>
          <w:i/>
          <w:color w:val="4472C4" w:themeColor="accent5"/>
        </w:rPr>
      </w:pPr>
      <w:r w:rsidRPr="0072665E">
        <w:rPr>
          <w:rFonts w:ascii="Arial" w:hAnsi="Arial" w:cs="Arial"/>
          <w:i/>
          <w:color w:val="4472C4" w:themeColor="accent5"/>
        </w:rPr>
        <w:t xml:space="preserve">Bude probíhat vyhlášení tzv. Mimořádného termínu, který je určen pro žadatele, kteří poskytují nově registrované sociální služby, nebo u nich došlo ke změnám v registraci (rozšíření kapacit). </w:t>
      </w:r>
      <w:r>
        <w:rPr>
          <w:rFonts w:ascii="Arial" w:hAnsi="Arial" w:cs="Arial"/>
          <w:i/>
          <w:color w:val="4472C4" w:themeColor="accent5"/>
        </w:rPr>
        <w:t xml:space="preserve">V současné době toto vyhlášení připravujeme a bude předloženo dne </w:t>
      </w:r>
      <w:r w:rsidR="00E10A69">
        <w:rPr>
          <w:rFonts w:ascii="Arial" w:hAnsi="Arial" w:cs="Arial"/>
          <w:i/>
          <w:color w:val="4472C4" w:themeColor="accent5"/>
        </w:rPr>
        <w:br/>
      </w:r>
      <w:r>
        <w:rPr>
          <w:rFonts w:ascii="Arial" w:hAnsi="Arial" w:cs="Arial"/>
          <w:i/>
          <w:color w:val="4472C4" w:themeColor="accent5"/>
        </w:rPr>
        <w:t xml:space="preserve">2. 10. 2017 Radě Ústeckého kraje a dne 23. 10. 2017 Zastupitelstvu Ústeckého kraje. </w:t>
      </w:r>
    </w:p>
    <w:p w:rsidR="00534D93" w:rsidRDefault="00534D93" w:rsidP="00534D93">
      <w:pPr>
        <w:pStyle w:val="Odstavecseseznamem"/>
        <w:numPr>
          <w:ilvl w:val="0"/>
          <w:numId w:val="10"/>
        </w:numPr>
        <w:contextualSpacing w:val="0"/>
        <w:jc w:val="both"/>
        <w:rPr>
          <w:rFonts w:ascii="Arial" w:hAnsi="Arial" w:cs="Arial"/>
        </w:rPr>
      </w:pPr>
      <w:r w:rsidRPr="00965CA0">
        <w:rPr>
          <w:rFonts w:ascii="Arial" w:hAnsi="Arial" w:cs="Arial"/>
        </w:rPr>
        <w:t>Ve smlouvě v rá</w:t>
      </w:r>
      <w:r>
        <w:rPr>
          <w:rFonts w:ascii="Arial" w:hAnsi="Arial" w:cs="Arial"/>
        </w:rPr>
        <w:t>mci POSOSUK II je uvedeno, že si</w:t>
      </w:r>
      <w:r w:rsidRPr="00965CA0">
        <w:rPr>
          <w:rFonts w:ascii="Arial" w:hAnsi="Arial" w:cs="Arial"/>
        </w:rPr>
        <w:t xml:space="preserve"> poskytovatel plní i další povinnosti mimo jiné také dle pravidel Operačního programu Zaměstnanost. Z našeho pohledu je to velmi široký pojem, bylo </w:t>
      </w:r>
      <w:r>
        <w:rPr>
          <w:rFonts w:ascii="Arial" w:hAnsi="Arial" w:cs="Arial"/>
        </w:rPr>
        <w:t>by možné to blíže specifikovat?</w:t>
      </w:r>
    </w:p>
    <w:p w:rsidR="00534D93" w:rsidRPr="000C35D9" w:rsidRDefault="000C35D9" w:rsidP="00534D93">
      <w:pPr>
        <w:jc w:val="both"/>
        <w:rPr>
          <w:rFonts w:ascii="Arial" w:hAnsi="Arial" w:cs="Arial"/>
          <w:i/>
          <w:color w:val="0070C0"/>
        </w:rPr>
      </w:pPr>
      <w:r w:rsidRPr="000C35D9">
        <w:rPr>
          <w:rFonts w:ascii="Arial" w:hAnsi="Arial" w:cs="Arial"/>
          <w:i/>
          <w:color w:val="0070C0"/>
        </w:rPr>
        <w:t>Poskytovatel musí postupovat dle Obecné části pravidel pro žadatele a příjemce v rámci OP Zaměstnanost.</w:t>
      </w:r>
    </w:p>
    <w:p w:rsidR="00534D93" w:rsidRPr="00534D93" w:rsidRDefault="00534D93" w:rsidP="00534D93">
      <w:pPr>
        <w:pStyle w:val="Odstavecseseznamem"/>
        <w:numPr>
          <w:ilvl w:val="0"/>
          <w:numId w:val="10"/>
        </w:numPr>
        <w:contextualSpacing w:val="0"/>
        <w:jc w:val="both"/>
        <w:rPr>
          <w:rFonts w:ascii="Arial" w:hAnsi="Arial" w:cs="Arial"/>
        </w:rPr>
      </w:pPr>
      <w:r w:rsidRPr="00965CA0">
        <w:rPr>
          <w:rFonts w:ascii="Arial" w:hAnsi="Arial" w:cs="Arial"/>
        </w:rPr>
        <w:t xml:space="preserve">Dále pak může mít pracovník, který působí v rámci dané služby/projektu POSOSUK II </w:t>
      </w:r>
      <w:r w:rsidR="00E80E2C">
        <w:rPr>
          <w:rFonts w:ascii="Arial" w:hAnsi="Arial" w:cs="Arial"/>
        </w:rPr>
        <w:br/>
      </w:r>
      <w:r w:rsidRPr="00965CA0">
        <w:rPr>
          <w:rFonts w:ascii="Arial" w:hAnsi="Arial" w:cs="Arial"/>
        </w:rPr>
        <w:t>u daného zaměstnavatele úvazek více jak 1,0? (jak je uvedeno v metodice OPZ tj. úvazek osoby zapojené do daného projektu, nesmí překročit součet veškerých úvazků zaměstnance u zaměstnavatele/ů včetně případných DPP a DPČ jeden pracovní úvazek)</w:t>
      </w:r>
    </w:p>
    <w:p w:rsidR="001F13A9" w:rsidRDefault="00534D93" w:rsidP="001F13A9">
      <w:pPr>
        <w:jc w:val="both"/>
        <w:rPr>
          <w:rFonts w:ascii="Arial" w:hAnsi="Arial" w:cs="Arial"/>
          <w:i/>
          <w:color w:val="4472C4" w:themeColor="accent5"/>
        </w:rPr>
      </w:pPr>
      <w:r w:rsidRPr="00965CA0">
        <w:rPr>
          <w:rFonts w:ascii="Arial" w:hAnsi="Arial" w:cs="Arial"/>
          <w:i/>
          <w:color w:val="4472C4" w:themeColor="accent5"/>
        </w:rPr>
        <w:t xml:space="preserve">Nemůže, podmínky jsou určeny Smlouvou daného projektu nebo dotačního programu. Pracovník musí mít v součtu 1 úvazek ať už pouze na pracovní smlouvu nebo součtem </w:t>
      </w:r>
      <w:r w:rsidR="00E10A69">
        <w:rPr>
          <w:rFonts w:ascii="Arial" w:hAnsi="Arial" w:cs="Arial"/>
          <w:i/>
          <w:color w:val="4472C4" w:themeColor="accent5"/>
        </w:rPr>
        <w:br/>
      </w:r>
      <w:r w:rsidRPr="00965CA0">
        <w:rPr>
          <w:rFonts w:ascii="Arial" w:hAnsi="Arial" w:cs="Arial"/>
          <w:i/>
          <w:color w:val="4472C4" w:themeColor="accent5"/>
        </w:rPr>
        <w:t>na pracovní smlouvu, DPP a DPČ (případně jiné variace).</w:t>
      </w:r>
    </w:p>
    <w:p w:rsidR="001F13A9" w:rsidRDefault="001F13A9" w:rsidP="001F13A9">
      <w:pPr>
        <w:jc w:val="both"/>
        <w:rPr>
          <w:rFonts w:ascii="Arial" w:hAnsi="Arial" w:cs="Arial"/>
          <w:i/>
          <w:color w:val="4472C4" w:themeColor="accent5"/>
        </w:rPr>
      </w:pPr>
    </w:p>
    <w:p w:rsidR="001F13A9" w:rsidRPr="001F13A9" w:rsidRDefault="001F13A9" w:rsidP="001F13A9">
      <w:pPr>
        <w:jc w:val="both"/>
        <w:rPr>
          <w:rFonts w:ascii="Arial" w:hAnsi="Arial" w:cs="Arial"/>
          <w:i/>
          <w:color w:val="4472C4" w:themeColor="accent5"/>
        </w:rPr>
      </w:pPr>
    </w:p>
    <w:p w:rsidR="00534D93" w:rsidRDefault="00534D93" w:rsidP="00534D93">
      <w:pPr>
        <w:pStyle w:val="Odstavecseseznamem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Lze přesouvat nevyčerpané finanční prostředky v rámci projektu POSOSUK 2 v rámci stejné služby z daného roku do následujícího.</w:t>
      </w:r>
    </w:p>
    <w:p w:rsidR="002D3F73" w:rsidRPr="00B260DD" w:rsidRDefault="00534D93" w:rsidP="00B260DD">
      <w:pPr>
        <w:jc w:val="both"/>
        <w:rPr>
          <w:rFonts w:ascii="Arial" w:hAnsi="Arial" w:cs="Arial"/>
          <w:i/>
          <w:color w:val="4472C4" w:themeColor="accent5"/>
        </w:rPr>
      </w:pPr>
      <w:r w:rsidRPr="0049093E">
        <w:rPr>
          <w:rFonts w:ascii="Arial" w:hAnsi="Arial" w:cs="Arial"/>
          <w:i/>
          <w:color w:val="4472C4" w:themeColor="accent5"/>
        </w:rPr>
        <w:t>Nelze, v případě, že na základě roční zprávy o realizaci projektu bude zjištěno, že služba poskytnutou dotaci nevyčerpala v plné výši, bude vyčíslena vratka a poskytovatel bude písemně vyzván k</w:t>
      </w:r>
      <w:r w:rsidR="00B260DD">
        <w:rPr>
          <w:rFonts w:ascii="Arial" w:hAnsi="Arial" w:cs="Arial"/>
          <w:i/>
          <w:color w:val="4472C4" w:themeColor="accent5"/>
        </w:rPr>
        <w:t> </w:t>
      </w:r>
      <w:r w:rsidRPr="0049093E">
        <w:rPr>
          <w:rFonts w:ascii="Arial" w:hAnsi="Arial" w:cs="Arial"/>
          <w:i/>
          <w:color w:val="4472C4" w:themeColor="accent5"/>
        </w:rPr>
        <w:t>vrácení</w:t>
      </w:r>
      <w:r w:rsidR="00B260DD">
        <w:rPr>
          <w:rFonts w:ascii="Arial" w:hAnsi="Arial" w:cs="Arial"/>
          <w:i/>
          <w:color w:val="4472C4" w:themeColor="accent5"/>
        </w:rPr>
        <w:t>.</w:t>
      </w:r>
    </w:p>
    <w:sectPr w:rsidR="002D3F73" w:rsidRPr="00B260DD" w:rsidSect="007453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E2655"/>
    <w:multiLevelType w:val="hybridMultilevel"/>
    <w:tmpl w:val="9A9022BE"/>
    <w:lvl w:ilvl="0" w:tplc="3FB802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996A1F"/>
    <w:multiLevelType w:val="hybridMultilevel"/>
    <w:tmpl w:val="18C6AD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B20F1F"/>
    <w:multiLevelType w:val="hybridMultilevel"/>
    <w:tmpl w:val="82928562"/>
    <w:lvl w:ilvl="0" w:tplc="BA12C65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>
    <w:nsid w:val="4FF77DA9"/>
    <w:multiLevelType w:val="hybridMultilevel"/>
    <w:tmpl w:val="41E8F374"/>
    <w:lvl w:ilvl="0" w:tplc="CEFC37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6D1D7D"/>
    <w:multiLevelType w:val="hybridMultilevel"/>
    <w:tmpl w:val="9BCA2BB6"/>
    <w:lvl w:ilvl="0" w:tplc="07D4BA60">
      <w:start w:val="4"/>
      <w:numFmt w:val="bullet"/>
      <w:lvlText w:val="-"/>
      <w:lvlJc w:val="left"/>
      <w:pPr>
        <w:ind w:left="717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">
    <w:nsid w:val="50F75C62"/>
    <w:multiLevelType w:val="hybridMultilevel"/>
    <w:tmpl w:val="03E00FE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84339E8"/>
    <w:multiLevelType w:val="hybridMultilevel"/>
    <w:tmpl w:val="4D7E3196"/>
    <w:lvl w:ilvl="0" w:tplc="3C3ADA4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7A60F1"/>
    <w:multiLevelType w:val="hybridMultilevel"/>
    <w:tmpl w:val="775C98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C807B8"/>
    <w:multiLevelType w:val="hybridMultilevel"/>
    <w:tmpl w:val="14707824"/>
    <w:lvl w:ilvl="0" w:tplc="D7DCB5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20035C"/>
    <w:multiLevelType w:val="hybridMultilevel"/>
    <w:tmpl w:val="6BB8F886"/>
    <w:lvl w:ilvl="0" w:tplc="BEE856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3"/>
  </w:num>
  <w:num w:numId="5">
    <w:abstractNumId w:val="4"/>
  </w:num>
  <w:num w:numId="6">
    <w:abstractNumId w:val="9"/>
  </w:num>
  <w:num w:numId="7">
    <w:abstractNumId w:val="2"/>
  </w:num>
  <w:num w:numId="8">
    <w:abstractNumId w:val="7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D67F8"/>
    <w:rsid w:val="00071FBA"/>
    <w:rsid w:val="000C35D9"/>
    <w:rsid w:val="000D67F8"/>
    <w:rsid w:val="00120EB9"/>
    <w:rsid w:val="001442F2"/>
    <w:rsid w:val="001F13A9"/>
    <w:rsid w:val="001F1EDD"/>
    <w:rsid w:val="001F21F6"/>
    <w:rsid w:val="00262F37"/>
    <w:rsid w:val="002C00F4"/>
    <w:rsid w:val="002D3F73"/>
    <w:rsid w:val="0031140F"/>
    <w:rsid w:val="00325018"/>
    <w:rsid w:val="00353B23"/>
    <w:rsid w:val="00366D23"/>
    <w:rsid w:val="00371465"/>
    <w:rsid w:val="003E1EFB"/>
    <w:rsid w:val="003F6D9E"/>
    <w:rsid w:val="00404617"/>
    <w:rsid w:val="00434AFE"/>
    <w:rsid w:val="004607B4"/>
    <w:rsid w:val="0049093E"/>
    <w:rsid w:val="004D1071"/>
    <w:rsid w:val="005017EB"/>
    <w:rsid w:val="00523F60"/>
    <w:rsid w:val="00534D93"/>
    <w:rsid w:val="00597CBA"/>
    <w:rsid w:val="005F7586"/>
    <w:rsid w:val="006039C8"/>
    <w:rsid w:val="00676D3D"/>
    <w:rsid w:val="0069480E"/>
    <w:rsid w:val="006E3197"/>
    <w:rsid w:val="00726591"/>
    <w:rsid w:val="0072665E"/>
    <w:rsid w:val="007453F8"/>
    <w:rsid w:val="0082243D"/>
    <w:rsid w:val="00845F75"/>
    <w:rsid w:val="00862DBE"/>
    <w:rsid w:val="008D125B"/>
    <w:rsid w:val="008E4D05"/>
    <w:rsid w:val="008F6005"/>
    <w:rsid w:val="00957CEF"/>
    <w:rsid w:val="00971DFE"/>
    <w:rsid w:val="00981A77"/>
    <w:rsid w:val="00A06C85"/>
    <w:rsid w:val="00A149FA"/>
    <w:rsid w:val="00A509AB"/>
    <w:rsid w:val="00AB7B71"/>
    <w:rsid w:val="00AC624B"/>
    <w:rsid w:val="00B00223"/>
    <w:rsid w:val="00B260DD"/>
    <w:rsid w:val="00B507E5"/>
    <w:rsid w:val="00B71D7C"/>
    <w:rsid w:val="00B73275"/>
    <w:rsid w:val="00B92CB8"/>
    <w:rsid w:val="00BE4B6C"/>
    <w:rsid w:val="00C3798A"/>
    <w:rsid w:val="00C4753B"/>
    <w:rsid w:val="00C77616"/>
    <w:rsid w:val="00C8100E"/>
    <w:rsid w:val="00CF2A99"/>
    <w:rsid w:val="00D271CC"/>
    <w:rsid w:val="00D51724"/>
    <w:rsid w:val="00DB3F45"/>
    <w:rsid w:val="00E10A69"/>
    <w:rsid w:val="00E4077D"/>
    <w:rsid w:val="00E4243A"/>
    <w:rsid w:val="00E453F8"/>
    <w:rsid w:val="00E80E2C"/>
    <w:rsid w:val="00F127DA"/>
    <w:rsid w:val="00F25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67F8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D67F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442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42F2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862DBE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F6D9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sfcr.cz/pravidla-pro-zadatele-a-prijemce-opz/-/dokument/797767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esfcr.cz/pravidla-pro-zadatele-a-prijemce-opz/-/dokument/79776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472298-E18B-4D6A-B1F6-CE35F01B8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6</Pages>
  <Words>2139</Words>
  <Characters>12626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KÚÚK</Company>
  <LinksUpToDate>false</LinksUpToDate>
  <CharactersWithSpaces>14736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Houdová Eva</dc:creator>
  <cp:lastModifiedBy>Feltlová Eva</cp:lastModifiedBy>
  <cp:revision>21</cp:revision>
  <cp:lastPrinted>2017-08-30T09:49:00Z</cp:lastPrinted>
  <dcterms:created xsi:type="dcterms:W3CDTF">2017-08-30T09:49:00Z</dcterms:created>
  <dcterms:modified xsi:type="dcterms:W3CDTF">2017-09-14T07:57:00Z</dcterms:modified>
</cp:coreProperties>
</file>