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P</w:t>
      </w:r>
      <w:bookmarkStart w:id="0" w:name="_GoBack"/>
      <w:bookmarkEnd w:id="0"/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2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A.1.</w:t>
            </w:r>
            <w:proofErr w:type="gramEnd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Informace podle § 7 odst. 3 zákona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Nenastala žádná skutečnost, která by omezovala nebo zabraňovala Ústeckému kraji ve své činnosti pokračovat i v dohledné budoucnosti. 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A.2.</w:t>
            </w:r>
            <w:proofErr w:type="gramEnd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Informace podle § 7 odst. 4 zákona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Uspořádání a označování položek rozvahy a výkazu zisku a ztráty a jejich obsahové vymezení bylo použito pro daný rok podle vyhlášky č. 410/2009 Sb. v platném znění. 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A.3.</w:t>
            </w:r>
            <w:proofErr w:type="gramEnd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Informace podle § 7 odst. 5 zákona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Ústecký kraj použil všechny účetní metody, jak byly stanoveny ve vyhlášce č. 410/2009 Sb. ve znění pro daný rok a v Českých účetních standardech. Drobný dlouhodobý nehmotný majetek - v pořizovací ceně od 7.000,- - 60.000,- Kč. Drobný dlouhodobý hmotný majetek - v pořizovací ceně od 3.000,- - 40.000,- Kč. Pro všechen odpisovaný majetek byl používán rovnoměrný způsob odpisování. Na účtu poskytnutých i přijatých záloh na dotace jsou vykázány podle Českého účetního standardu č. 703 zálohy s ohledem na okamžik poskytnutí nebo přijetí zálohy a okamžik vypořádání, pokud je období delší než jeden rok, považuje se tato záloha za dlouhodobou. Pro přepočet majetku a závazků v cizí měně na měnu českou byl po celý rok používán pevný kurz devizového trhu vyhlášený ČNB k prvnímu pracovnímu dni v roce 2016. K rozvahovému dni byly stavy majetku a závazků přepočteny kurzem ČNB k rozvahovému dni. Pokud byl pořizován majetek z bankovního úvěru, nevstupují úroky do ocenění majetku. O zásobách se účtovalo způsobem A. Jako podmíněné závazky či pohledávky ze smluv vykázal Ústecký kraj takové, které přesáhly 10 milionů, ze smluv o dílo,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kterými byl opravován nebo technicky zhodnocován dlouhodobý majetek. Metoda časového rozlišení se použila pro významné náklady a výnosy, za které se považují náklady a výnosy nad 50 000,-- Kč. Ústecký kraj tvořil rezervy na rizika budoucího zvýšení nákladů z titulu soudních sporů, majetkových hroze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sankcí vyplývajících zejména z kontrol orgánů veřejné správy pokud pravděpodobnost je vyšší jak 50% a částka vyšší vyplývajících zejména ze zahájených kontrol orgánů veřejné správy nebo </w:t>
            </w: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jak 50 000,-- Kč. O opravných položkách účtuje jen k rozvahovému dni. </w:t>
            </w:r>
          </w:p>
        </w:tc>
      </w:tr>
    </w:tbl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A.4.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Informace podle § 7 odst. 5 zákona o stavu účtů v knize podrozvahových účtů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1303"/>
        <w:gridCol w:w="3474"/>
        <w:gridCol w:w="1712"/>
        <w:gridCol w:w="1712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Syntetický účet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minulé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P.I.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Majetek a závazky účetní jednotky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27404142519.88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26859782902.06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Jiný drobný dlouhodobý nehmotný majetek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6417887.51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5053218.76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Jiný drobný dlouhodobý hmotný majetek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16318912.26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15627732.85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P.I.3.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Vyřazené pohledávky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2561245.32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2882049.01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P.I.4.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Vyřazené závazky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P.I.5.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majetek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27378844474.79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26836219901.44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P.II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Krátkodobé podmíněné pohledávky z transferů a krátkodobé podmíněné závazky z transferů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 předfinancování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předfinancování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ze zahraničních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ze zahraničních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krátkodobé podmíněné pohledávky z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krátkodobé podmíněné závazky z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P.III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Podmíněné pohledávky z důvodu užívání majetku jinou osobou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 důvodu úplatného užívání majetku jinou osobou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důvodou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úplatného užívání majetku jinou osobou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 důvodu užívání majetku jinou osobou na základě smlouvy o výpůjčce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</w:t>
            </w: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z důvodu užívání majetku jinou osobou na základě smlouvy o výpůjčce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 důvodu užívání majetku jinou osobou z jiných důvodů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 důvodu užívání majetku jinou osobou z jiných důvodů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Další podmíněné pohledávky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49858066.57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406103959.95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ze smluv o prodeji dlouhodobého majetku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ze smluv o prodeji dlouhodobého majetku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 jiných smluv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 jiných smluv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9000000.00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ze sdílených daní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ze sdílených daní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ze vztahu k jiným zdrojům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ze vztahu k jiným zdrojům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347372852.26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úhrady pohledávek z přijatých zajištění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3000000.00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úhrady pohledávek z přijatých zajištění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39663066.57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46731107.69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pohledávky ze soudních sporů, správních řízení a jiných řízení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ze soudních sporů, správních řízení a jiných řízení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P.V.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Dlouhodobé podmíněné pohledávky z transferů a dlouhodobé podmíněné závazky z transferů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802999108.26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239670955.81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 předfinancování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předfinancování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P.V.3.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pohledávky ze zahraničních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36745305.33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22991399.84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P.V.4.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ze zahraničních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P.V.5.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dlouhodobé podmíněné pohledávky z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606462984.79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216679555.97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P.V.6.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dlouhodobé podmíněné závazky z transferů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159790818.14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Podmíněné závazky z důvodu užívání cizího majetku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operativního leasingu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operativního leasingu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finančního leasingu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finančního leasingu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důvodu užívání cizího majetku na základě smlouvy o výpůjčce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důvodu užívání cizího majetku na základě smlouvy o výpůjčce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důvodu užívání cizího majetku nebo jeho převzetí z jiných důvodů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důvodu užívání cizího majetku nebo jeho převzetí z jiných důvodů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Další podmíněné závazky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274178238.45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439540119.60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ze smluv o pořízení dlouhodobého majetku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123403304.20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49831897.02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ze smluv o pořízení dlouhodobého majetku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67643614.03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61188420.86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jiných smluv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jiných smluv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82990000.00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přijatého kolaterálu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přijatého kolaterálu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vyplývající z právních předpisů a další činnosti moci zákonodárné, výkonné nebo soudní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vyplývající z právních předpisů a další činnosti moci zákonodárné, výkonné nebo soudní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poskytnutých garancí jednorázových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poskytnutých garancí jednorázových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 </w:t>
            </w: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poskytnutých garancí ostatních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 poskytnutých garancí ostatních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Krátkodobé podmíněné závazky ze soudních sporů, správních řízení a jiných řízení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Dlouhodobé podmíněné závazky ze soudních sporů, správních řízení a jiných řízení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83131320.22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245529801.72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P.VIII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Ostatní podmíněná aktiva a ostatní podmíněná pasiva a vyrovnávací účty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krátkodobá podmíněná aktiva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dlouhodobá podmíněná aktiva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krátkodobá podmíněná pasiva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Ostatní dlouhodobá podmíněná pasiva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P.VIII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Vyrovnávací účet k podrozvahovým účtům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27633239819.98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27066017698.22</w:t>
            </w:r>
          </w:p>
        </w:tc>
      </w:tr>
    </w:tbl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A.5.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Informace podle § 18 odst. 3 písm. b) zákona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A.5.</w:t>
            </w:r>
            <w:proofErr w:type="gramEnd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Informace podle § 18 odst. 3 písm. b) zákona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IČ: 70892156 </w:t>
            </w:r>
          </w:p>
        </w:tc>
      </w:tr>
    </w:tbl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A.6.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Informace podle § 19 odst. 6 zákona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6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A.6.</w:t>
            </w:r>
            <w:proofErr w:type="gramEnd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Informace podle § 19 odst. 6 zákona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Nenastaly žádné významné události mezi rozvahovým dnem a okamžikem sestavení účetní závěrky. </w:t>
            </w:r>
          </w:p>
        </w:tc>
      </w:tr>
    </w:tbl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8682"/>
      </w:tblGrid>
      <w:tr w:rsidR="00812CCF" w:rsidRPr="006C770E" w:rsidTr="00812CCF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B.1.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nil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Informace podle § 66 odst. 6 zákona</w:t>
            </w:r>
          </w:p>
        </w:tc>
      </w:tr>
      <w:tr w:rsidR="00812CCF" w:rsidRPr="006C770E" w:rsidTr="00812C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Zápisy do katastru nemovitostí byly všechny proúčtovány v roce 2016. </w:t>
            </w:r>
          </w:p>
        </w:tc>
      </w:tr>
      <w:tr w:rsidR="00812CCF" w:rsidRPr="006C770E" w:rsidTr="00812CCF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B.2.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Informace podle § 66 odst. 8 zákona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Netýká se Ústeckého kraje. 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B.3.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Informace podle § 68 odst. 3 zákona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Ústecký kraj v roce 2016 provedl mezi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přísp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organizacemi vzájemné zápočty v hodnotě 300 mil Kč. K rozvahovému dni byl proveden vzájemný zápočet mezi Ústeckým krajem a Statutárním městem Ústí nad Labem v hodnotě 900 000,-- Kč vyplývající ze smlouvy 15/SML 0801 - směna pozemků. </w:t>
            </w:r>
          </w:p>
        </w:tc>
      </w:tr>
    </w:tbl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5243"/>
        <w:gridCol w:w="1514"/>
        <w:gridCol w:w="1558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minulé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Zvýšení stavu transferů na pořízení dlouhodobého majetku za běžné účetní období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329465828.00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512127444.57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Snížení stavu transferů na pořízení dlouhodobého majetku ve věcné a časové souvislosti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623375611.09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83701397.84</w:t>
            </w:r>
          </w:p>
        </w:tc>
      </w:tr>
    </w:tbl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8682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D.1.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Počet jednotlivých věcí a souborů majetku nebo seznam tohoto majetku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D.2.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Celková výměra lesních pozemků s lesním porostem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D.3.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Výše ocenění celkové výměry lesních pozemků s lesním porostem ve výši 57 Kč/m2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D.4.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Výměra lesních pozemků s lesním porostem oceněných jiným způsobem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D.5.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Výše ocenění lesních pozemků s lesním porostem oceněných jiným způsobem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D.6.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Průměrná výše ocenění výměry lesních pozemků s lesním porostem oceněných jiným způsobem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D.7.</w:t>
            </w:r>
            <w:proofErr w:type="gramEnd"/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Komentář k ocenění lesních pozemků jiným způsobem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E.1.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Doplňující informace k položkám rozvahy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6692"/>
        <w:gridCol w:w="1601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 položce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Doplňující informace k položkám rozvahy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Částka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Jedná se o pozemek k prodej schválený radou Ústeckého kraje, parcelní č. 4400/140 v katastrálním územní Ústí na Labem.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952160.00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Úpis akcií v hodnotě 185 165 000,-- Krajská zdravotní a.s.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7550633503.33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Ukončení termínovaného vkladu - úbytek 200 000 000,-- Kč.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Nárůst na tomto účtu je způsoben poskytnutím dotací z Fondu Ústeckého kraje, poskytnutím neinvestičních dotací ze sociální oblasti. Podpora Ústeckého kraje na sociální služby 2017- malý dotační program 21 mil. Kč Podpora Úst. </w:t>
            </w: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kraje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sociální služby protidrogová politika - 6 mil. Kč.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45621849.68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roce 2016 byly vráceny návratné finanční výpomoci od MAS České Středohoří - 1 mil. Kč MAS Sdružení Západní Krušnohoří - 1 mil. Kč MAS Český Sever - 1 mil. Kč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Nárůst vznikl z nevráceného podílu od RRRSS za projekt CEDOP ve výši 1 545 892,-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1695415.29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Poskytnuté dotace z darů Nadace ČEZ,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Vršanská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uhelná v hodnotě 3 mil. Kč.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nedávkové transfery podle zákona č. 108/2006 Sb. o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sociálnícch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sl. ÚZ 13305 - v celkové hodnotě 863 900 000 Kč. Malý dotační program pro sociální služby pro rok 2016 - 37 mil. Kč, příspěvek na ztrátu dopravce z provozu veřejné osobní drážní dopravy 229 mil. Kč.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1363366927.23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Zde se proúčtovaly nevyúčtované dotace, které budou v průběhu finančního vypořádání zúčtovány se státním rozpočtem. Jedná se o následující položky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transfer podle zákona o soc. službách - 863 mil. Kč, transfer na státní příspěvek zřizovatelům zařízení pro děti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vyžadujícící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okamžitou pomoc - ÚZ 13 307 - 38 mil. Kč, příspěvek na ztrátu dopravce ÚZ 27 355 - 228 mil. Kč.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1360707705.05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Během roku 2016 byly finančně vypořádány projekty Globálních grantů poskytnutých MŠMT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283499835.22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Přijaté transfery od Nadace ČEZ - 23 mil. Kč, přijatá dotace od MPSV - dotace podle zákona č. 108/2006 Sb. - 863 mil. Kč dotace od ministerstva dopravy - 228 mil. Kč, neinvestiční dar ve výši 4 mil. Kč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Vršanská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uhelná,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neiv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transfer Český olympijský výbor-loterijní zákon - 4 mil. Kč, neinvestiční transfer od Úřadu práce na výkon pěstounské péče 2 mil. Kč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1192155866.17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Pojištění majetku na 1. Q. 2017 - 4 mil.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Labe aréna -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dotace - 4 mil. Kč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7619181.86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roce 2016 byly proúčtovány účastnické poplatky na VII. zimní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olypiádu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dětí a mládeže - 1 mil. Kč, proúčtování nájemného </w:t>
            </w: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I.Q.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2016 - 812 tis. Kč.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880341.39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zde jsou proúčtované nevyúčtované dotace dle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jednotlých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projektů </w:t>
            </w: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dopravní obslužnost - 1 miliarda Kč dotace na sociální služby - 903 mil. Kč, daň z příjmů právnických osob za rok 2016 - 10 mil. Kč, dotace na kulturu ve výši 14 mil. Kč, dotace na financování sportu 23 mil. Kč.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2308407601.28</w:t>
            </w:r>
          </w:p>
        </w:tc>
      </w:tr>
    </w:tbl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E.2.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 Doplňující informace k položkám výkazu zisku a ztráty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6770"/>
        <w:gridCol w:w="1490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K položce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Doplňující informace k položkám výkazu zisku a ztráty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Částka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A.I.19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Jedná o daň z nemovitosti za prodej pozemků v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katast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území Minice, Velemyšleves - 16/SML 2677, 16/SML0244, 16/SML 2681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6950979.00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A.I.23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průběhu roku 2016 byly sníženy odvody za porušení rozpočtové kázně a zároveň největší položku tvoří odvod za porušení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kázně za REKO I/13 Duchcov ve výši 4 mil. Kč.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4600352.25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A.I.26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největší rozdíl vznikl při prodeji pozemku společnosti NEXEN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Tire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Corporation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Czech s.r.</w:t>
            </w: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o.ve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výši 175 mil. Kč, další rozdíl vznikl při prodeji pozemků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osti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Kiswire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Cord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Czech - 57 mil. Kč.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297810557.24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A.I.31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prodej pozemku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p.p.č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337/87 Minice - 27 mil. Kč 20 mil se skládá s prodeje pozemku p. č. 554/104 </w:t>
            </w:r>
            <w:proofErr w:type="spellStart"/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k.ú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Tatinná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50764599.91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A.I.32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rezervách účtujeme o porušení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kázně v projektu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silnice Chomutov- Louny 100 mil. Kč dále je zde spor o Kojenecký ústav ve výši 5 mil. - s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Avigdorem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Schwarzem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106639349.85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A.I.34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odpis pohledávky SPARTAKUS 11 mil. Kč SKI CLUB Vejprty - 2,4 mil Kč,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Targavia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- 2 mil. Kč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17531465.91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B.I.15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prodej pozemků SPZ Triangle Žatec 33 mil. pozemek Minice - 16/SML0244 18 mil. prodej pozemku k.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ú.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Tatinná</w:t>
            </w:r>
            <w:proofErr w:type="spell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- 16/SML2681 81 mil. Kč prodej pozemku Minice-Staňkovice - 16/SML 2677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137323269.21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Pokles výnosů z úroků v částce 7 551 tis. Kč vlivem poklesu úrokových sazeb na účtech kraje (vkladové účty, účty s blokací - pokles individuální úrokové sazby)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6949285.25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Akcie RRA ÚK a.s. - přijaté dividendy z titulu ÚK jako akcionáře.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620500.00</w:t>
            </w:r>
          </w:p>
        </w:tc>
      </w:tr>
    </w:tbl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Ostatní fondy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F. Doplňující informace k fondům účetní jednotky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5"/>
        <w:gridCol w:w="1601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Běžné období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G.I.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Počáteční stav fondu k 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673325932.22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G.II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 Tvorba fondu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1060914064.02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Přebytky hospodaření z minulých let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Příjmy běžného roku, které nejsou určeny k využití v běžném roce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46045819.92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Převody prostředků z rozpočtu během roku do účelových peněžních fondů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941316244.10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 Ostatní tvorba fondu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73552000.00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G.III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 Čerpání fondu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934313800.58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G.IV</w:t>
            </w:r>
            <w:proofErr w:type="gramEnd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 Konečný stav fondu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799926195.66</w:t>
            </w:r>
          </w:p>
        </w:tc>
      </w:tr>
    </w:tbl>
    <w:p w:rsidR="00812CCF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G. Doplňující informace k položce „</w:t>
      </w: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A.II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.3. Stavby" výkazu rozvahy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871"/>
        <w:gridCol w:w="1725"/>
        <w:gridCol w:w="1678"/>
        <w:gridCol w:w="1706"/>
        <w:gridCol w:w="1603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 brutto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 korekce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 netto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minulé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1252259795.89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139072867.00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1113186928.89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1089493108.97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Bytové domy a bytové jednotky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49463127.06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-49463127.06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-49463127.06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Budovy pro služby obyvatelstvu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695918719.65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52207653.94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643711065.71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648187697.64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G.3.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Jiné nebytové domy a nebytové jednotky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G.4.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Komunikace a veřejné osvětlení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85363564.47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5711716.00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79651848.47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42007267.62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G.5.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Jiné inženýrské sítě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G.6.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stavby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470977511.77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31690370.00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439287141.77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448761270.77</w:t>
            </w:r>
          </w:p>
        </w:tc>
      </w:tr>
    </w:tbl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H. Doplňující informace k položce „</w:t>
      </w: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A.II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.1. Pozemky" výkazu rozvahy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979"/>
        <w:gridCol w:w="1776"/>
        <w:gridCol w:w="1549"/>
        <w:gridCol w:w="1738"/>
        <w:gridCol w:w="1541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 brutto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 korekce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 netto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minulé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Pozemky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107832365.91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107832365.91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107909604.07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Stavební pozemky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Lesní pozemky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236554.03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236554.03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236554.03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H.3.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Zahrady, pastviny, louky, rybníky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31685579.27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31685579.27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30542400.27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H.4.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9486314.30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9486314.30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9466314.30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H.5.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pozemky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66423918.31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66423918.31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67664335.47</w:t>
            </w:r>
          </w:p>
        </w:tc>
      </w:tr>
    </w:tbl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I. Doplňující informace k položce "</w:t>
      </w: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A.II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.4. Náklady z přecenění reálnou hodnotou" výkazu zisku a ztráty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490"/>
        <w:gridCol w:w="1403"/>
        <w:gridCol w:w="1423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minulé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Náklady z přecenění reálnou hodnotou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Náklady z přecenění reálnou hodnotou majetku určeného k prodeji podle § 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z přecenění reálnou hodnotou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59999.00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</w:tbl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 xml:space="preserve">J. Doplňující informace k </w:t>
      </w:r>
      <w:proofErr w:type="gramStart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položce "B.II</w:t>
      </w:r>
      <w:proofErr w:type="gramEnd"/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.4. Výnosy z přecenění reálnou hodnotou" výkazu zisku a ztráty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511"/>
        <w:gridCol w:w="1374"/>
        <w:gridCol w:w="1431"/>
      </w:tblGrid>
      <w:tr w:rsidR="00812CCF" w:rsidRPr="006C770E" w:rsidTr="00D62925"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běžné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Období minulé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Výnosy z přecenění reálnou hodnotou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Výnosy z přecenění reálnou hodnotou majetku určeného k prodeji podle § 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výnosy z přecenění reálnou hodnotou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</w:tbl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K1. Doplňující informace k poskytnutým garancím jednorázovým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K2. Doplňující informace k poskytnutým garancím ostatním</w:t>
      </w: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AE042C" w:rsidRDefault="00AE042C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</w:p>
    <w:p w:rsidR="00812CCF" w:rsidRPr="006C770E" w:rsidRDefault="00812CCF" w:rsidP="00812CCF">
      <w:pPr>
        <w:spacing w:before="720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</w:pPr>
      <w:r w:rsidRPr="006C770E">
        <w:rPr>
          <w:rFonts w:ascii="Arial" w:eastAsia="Times New Roman" w:hAnsi="Arial" w:cs="Arial"/>
          <w:b/>
          <w:bCs/>
          <w:kern w:val="36"/>
          <w:sz w:val="48"/>
          <w:szCs w:val="48"/>
          <w:lang w:eastAsia="cs-CZ"/>
        </w:rPr>
        <w:lastRenderedPageBreak/>
        <w:t>Příloha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C770E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ZÁKLADNÍ</w:t>
      </w:r>
    </w:p>
    <w:p w:rsidR="00812CCF" w:rsidRPr="006C770E" w:rsidRDefault="00812CCF" w:rsidP="00812CCF">
      <w:pPr>
        <w:spacing w:before="120" w:after="120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IČ 70892156</w:t>
      </w:r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sestavená k </w:t>
      </w:r>
      <w:proofErr w:type="gramStart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31.12.2016</w:t>
      </w:r>
      <w:proofErr w:type="gramEnd"/>
      <w:r w:rsidRPr="006C770E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(v Kč s přesností na dvě desetinná místa)</w:t>
      </w:r>
    </w:p>
    <w:p w:rsidR="00812CCF" w:rsidRPr="006C770E" w:rsidRDefault="00812CCF" w:rsidP="00812C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770E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M. Doplňující informace k příjmům a výdajům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5969"/>
        <w:gridCol w:w="800"/>
        <w:gridCol w:w="844"/>
      </w:tblGrid>
      <w:tr w:rsidR="00812CCF" w:rsidRPr="006C770E" w:rsidTr="00D62925">
        <w:tc>
          <w:tcPr>
            <w:tcW w:w="0" w:type="auto"/>
            <w:vMerge w:val="restart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0" w:type="auto"/>
            <w:vMerge w:val="restart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0" w:type="auto"/>
            <w:gridSpan w:val="2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Účetní období</w:t>
            </w:r>
          </w:p>
        </w:tc>
      </w:tr>
      <w:tr w:rsidR="00812CCF" w:rsidRPr="006C770E" w:rsidTr="00D62925">
        <w:tc>
          <w:tcPr>
            <w:tcW w:w="0" w:type="auto"/>
            <w:vMerge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Běžné</w:t>
            </w:r>
          </w:p>
        </w:tc>
        <w:tc>
          <w:tcPr>
            <w:tcW w:w="0" w:type="auto"/>
            <w:tcBorders>
              <w:top w:val="single" w:sz="6" w:space="0" w:color="B0B0B0"/>
              <w:left w:val="single" w:sz="6" w:space="0" w:color="B0B0B0"/>
              <w:bottom w:val="single" w:sz="6" w:space="0" w:color="B0B0B0"/>
              <w:right w:val="single" w:sz="6" w:space="0" w:color="B0B0B0"/>
            </w:tcBorders>
            <w:shd w:val="clear" w:color="auto" w:fill="003366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Minulé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PENĚŽNÍ TOKY Z PROVOZNÍ ČINNOSTI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daní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ze sociálních příspěvků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transferů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transferů od zahraničních vlád - běžné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transferů od zahraničních vlád - kapitálové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transferů od mezinárodních organizací - běžné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transferů od mezinárodních organizací - kapitálové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transferů od institucí vládního sektoru - běžné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Příjmy z transferů od institucí vládního sektoru - kapitálové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Jiné příjmy z provozní činnosti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Úroky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Podíly na zisku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Nájemné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Jiné příjmy z vlastnictví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Uskutečněný prodej zboží a služeb na tržním principu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Správní poplatky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Jiné příjmy z prodeje zboží a služeb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Pokuty, penále a propadnutí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Dary - běžné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Dary - kapitálové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příjmy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A.2.V.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náhrady zaměstnancům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A.2.V.1.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Mzdy a platy peněžní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A.2.V.2.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Zboží a služby poskytované zaměstnancům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A.2.V.3.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Sociální příspěvky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A.2.VI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nákupy zboží a služeb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úroky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úroky institucím vládního sektoru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A.2.VII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výdaje na úroky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A.2.VIII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transfery podnikatelským subjektům jiné než investiční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A.2.IX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transfery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A.2.IX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transfery zahraničním vládám - běžné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A.2.IX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transfery zahraničním vládám - kapitálové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A.2.IX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transfery mezinárodním organizacím - běžné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A.2.IX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transfery mezinárodním organizacím - kapitálové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A.2.IX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transfery jednotkám vládního sektoru - běžné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A.2.IX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transfery jednotkám vládního sektoru - kapitálové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Výdaje na sociální dávky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Dávky sociálního zabezpečení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Dávky sociální pomoci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A.2.X.3.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Sociální dávky zaměstnavatelů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Jiné výdaje z provozní činnosti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Podíly na zisku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Nájemné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výdaje - běžné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A.2.XI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výdaje - kapitálové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PENĚŽNÍ TOKY Z INVESTIC DO NEFINANČNÍCH AKTIV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Nákupy dlouhodobého hmotného a nehmotného majetku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B.1.I.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Kulturní předměty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B.1.II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Pozemky, ložiska nerostů a emisní povolenky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nákupy dlouhodobého hmotného a nehmotného majetku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Prodeje dlouhodobého hmotného a nehmotného majetku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B.2.I.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Kulturní předměty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B.2.II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Pozemky, ložiska nerostů a emisní povolenky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B.2.III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prodeje dlouhodobého hmotného a nehmotného majetku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SALDO Z NEFINANČNÍCH PENEŽNÍCH TOKŮ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PENĚŽNÍ TOKY Z FINANCOVÁNÍ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D.1.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Čistá změna finančních aktiv jiných než oběživo a depozita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D.1.I.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Nákupy finančních aktiv jiných než oběživo a depozita (+)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D.1.II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Prodeje finančních aktiv jiných než oběživo a depozita (-)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D.1.III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Poskytnuté půjčky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D.1.IV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Splátky poskytnutých půjček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Čistá změna stavu přijatých půjček a vydaných dluhopisů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D.2.I.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Přijaté půjčky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Splátky přijatých půjček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D.2.III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Vydané dluhopisy (+)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  <w:tr w:rsidR="00812CCF" w:rsidRPr="006C770E" w:rsidTr="00D629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D.2.IV</w:t>
            </w:r>
            <w:proofErr w:type="gramEnd"/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Splátky vydaných dluhopisů (-)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:rsidR="00812CCF" w:rsidRPr="006C770E" w:rsidRDefault="00812CCF" w:rsidP="00D629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770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0.00</w:t>
            </w:r>
          </w:p>
        </w:tc>
      </w:tr>
    </w:tbl>
    <w:p w:rsidR="003107E9" w:rsidRDefault="003107E9"/>
    <w:sectPr w:rsidR="0031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3F2"/>
    <w:multiLevelType w:val="hybridMultilevel"/>
    <w:tmpl w:val="E21E2954"/>
    <w:lvl w:ilvl="0" w:tplc="90824D82">
      <w:start w:val="1"/>
      <w:numFmt w:val="decimal"/>
      <w:pStyle w:val="Styl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CF"/>
    <w:rsid w:val="002F5F60"/>
    <w:rsid w:val="003107E9"/>
    <w:rsid w:val="00812CCF"/>
    <w:rsid w:val="00A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CCF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812CCF"/>
    <w:pPr>
      <w:pBdr>
        <w:top w:val="single" w:sz="6" w:space="10" w:color="000000"/>
      </w:pBdr>
      <w:spacing w:before="720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12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12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12C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qFormat/>
    <w:rsid w:val="002F5F60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812C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12C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2C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12C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sazeni">
    <w:name w:val="odsazeni"/>
    <w:basedOn w:val="Standardnpsmoodstavce"/>
    <w:rsid w:val="00812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CCF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812CCF"/>
    <w:pPr>
      <w:pBdr>
        <w:top w:val="single" w:sz="6" w:space="10" w:color="000000"/>
      </w:pBdr>
      <w:spacing w:before="720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12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12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12C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qFormat/>
    <w:rsid w:val="002F5F60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812C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12C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2C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12C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odsazeni">
    <w:name w:val="odsazeni"/>
    <w:basedOn w:val="Standardnpsmoodstavce"/>
    <w:rsid w:val="0081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77FB-FF57-4E8C-B791-7881E14A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3256</Words>
  <Characters>19212</Characters>
  <Application>Microsoft Office Word</Application>
  <DocSecurity>4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Houska Viktor</dc:creator>
  <cp:lastModifiedBy>Síbová Marcela</cp:lastModifiedBy>
  <cp:revision>2</cp:revision>
  <dcterms:created xsi:type="dcterms:W3CDTF">2017-03-01T08:19:00Z</dcterms:created>
  <dcterms:modified xsi:type="dcterms:W3CDTF">2017-03-01T08:19:00Z</dcterms:modified>
</cp:coreProperties>
</file>