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05" w:rsidRPr="00041C1A" w:rsidRDefault="00331705" w:rsidP="0033170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15pt;margin-top:-42.85pt;width:139.5pt;height:30pt;z-index:251658240;mso-position-horizontal:absolute;mso-width-relative:margin;mso-height-relative:margin" strokecolor="white">
            <v:textbox>
              <w:txbxContent>
                <w:p w:rsidR="00331705" w:rsidRPr="00A92DCD" w:rsidRDefault="00331705" w:rsidP="00331705"/>
              </w:txbxContent>
            </v:textbox>
          </v:shape>
        </w:pict>
      </w:r>
      <w:r w:rsidRPr="00041C1A">
        <w:rPr>
          <w:rFonts w:ascii="Arial" w:hAnsi="Arial" w:cs="Arial"/>
          <w:b/>
          <w:sz w:val="44"/>
          <w:szCs w:val="44"/>
        </w:rPr>
        <w:t>ÚSTECKÝ  KRAJ</w:t>
      </w:r>
    </w:p>
    <w:p w:rsidR="00331705" w:rsidRPr="00331705" w:rsidRDefault="00331705" w:rsidP="0033170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B6DDE8"/>
          </w:tcPr>
          <w:p w:rsidR="00331705" w:rsidRPr="00041C1A" w:rsidRDefault="00331705" w:rsidP="00D07E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1C1A">
              <w:rPr>
                <w:rFonts w:ascii="Arial" w:hAnsi="Arial" w:cs="Arial"/>
                <w:b/>
                <w:sz w:val="32"/>
                <w:szCs w:val="32"/>
              </w:rPr>
              <w:t>Zásady pro používání finančních prostředků z Fondu vodního hospodářství Ústeckého kraje</w:t>
            </w:r>
          </w:p>
          <w:p w:rsidR="00331705" w:rsidRPr="00041C1A" w:rsidRDefault="00331705" w:rsidP="00D07EA7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041C1A">
              <w:rPr>
                <w:rFonts w:ascii="Arial" w:hAnsi="Arial" w:cs="Arial"/>
                <w:b/>
                <w:sz w:val="32"/>
                <w:szCs w:val="32"/>
              </w:rPr>
              <w:t>(dále jen „ZFVH“)</w:t>
            </w:r>
          </w:p>
        </w:tc>
      </w:tr>
    </w:tbl>
    <w:p w:rsidR="00331705" w:rsidRPr="00041C1A" w:rsidRDefault="00331705" w:rsidP="00331705">
      <w:pPr>
        <w:pStyle w:val="Zkladntext"/>
        <w:widowControl/>
        <w:spacing w:before="240"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Cs w:val="24"/>
        </w:rPr>
        <w:t xml:space="preserve">ČÁST A </w:t>
      </w:r>
    </w:p>
    <w:p w:rsidR="00331705" w:rsidRPr="00041C1A" w:rsidRDefault="00331705" w:rsidP="00331705">
      <w:pPr>
        <w:pStyle w:val="Zkladntext"/>
        <w:widowControl/>
        <w:spacing w:after="120"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Cs w:val="24"/>
        </w:rPr>
        <w:t>OBECNÁ USTANOVENÍ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1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Základní principy</w:t>
            </w:r>
          </w:p>
        </w:tc>
      </w:tr>
    </w:tbl>
    <w:p w:rsidR="00331705" w:rsidRPr="00041C1A" w:rsidRDefault="00331705" w:rsidP="00331705">
      <w:pPr>
        <w:pStyle w:val="Zkladntext"/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V souladu se zákonem č. 129/2000 Sb., o krajích (krajské zřízení), ve znění pozdějších předpisů, § 5 odst. 1 zákona č. 250/2000 Sb., o rozpočtových pravidlech územních rozpočtů, ve znění pozdějších předpisů, a v návaznosti na povinnosti vyplývající z § 42</w:t>
      </w:r>
      <w:r>
        <w:rPr>
          <w:rFonts w:ascii="Arial" w:hAnsi="Arial" w:cs="Arial"/>
          <w:b w:val="0"/>
          <w:sz w:val="22"/>
          <w:szCs w:val="22"/>
        </w:rPr>
        <w:t xml:space="preserve"> odst. 4 a 5</w:t>
      </w:r>
      <w:r w:rsidRPr="00041C1A">
        <w:rPr>
          <w:rFonts w:ascii="Arial" w:hAnsi="Arial" w:cs="Arial"/>
          <w:b w:val="0"/>
          <w:sz w:val="22"/>
          <w:szCs w:val="22"/>
        </w:rPr>
        <w:t xml:space="preserve"> a § 88 </w:t>
      </w:r>
      <w:r>
        <w:rPr>
          <w:rFonts w:ascii="Arial" w:hAnsi="Arial" w:cs="Arial"/>
          <w:b w:val="0"/>
          <w:sz w:val="22"/>
          <w:szCs w:val="22"/>
        </w:rPr>
        <w:t xml:space="preserve">odst. 15 </w:t>
      </w:r>
      <w:r w:rsidRPr="00041C1A">
        <w:rPr>
          <w:rFonts w:ascii="Arial" w:hAnsi="Arial" w:cs="Arial"/>
          <w:b w:val="0"/>
          <w:sz w:val="22"/>
          <w:szCs w:val="22"/>
        </w:rPr>
        <w:t xml:space="preserve">zákona č. 254/2001 Sb., o vodách a o změně některých zákonů (vodní zákon), ve znění pozdějších předpisů (dále jen „vodní zákon“) a za účelem naplňování cílů schváleného Programu rozvoje Ústeckého kraje a Plánu rozvoje vodovodů a kanalizací Ústeckého kraje (dále jen „PRVKUK“) byl Ústeckým krajem zřízen usnesením Zastupitelstva Ústeckého kraje č. 19/26/2004 ze dne 23. 06. 2004 Fond vodního hospodářství Ústeckého kraje (dále jen „Fond“). Čerpání finančních prostředků z Fondu se řídí těmito zásadami. </w:t>
      </w:r>
    </w:p>
    <w:p w:rsidR="00331705" w:rsidRPr="00041C1A" w:rsidRDefault="00331705" w:rsidP="00331705">
      <w:pPr>
        <w:pStyle w:val="Zkladntext"/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Fond byl zřízen za účelem:</w:t>
      </w:r>
    </w:p>
    <w:p w:rsidR="00331705" w:rsidRPr="00041C1A" w:rsidRDefault="00331705" w:rsidP="00331705">
      <w:pPr>
        <w:pStyle w:val="Zkladntext"/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Poskytování dotací na podporu výstavby a obnovy vodohospodářské infrastruktury na území Ústeckého kraje dle § 88 odst. 15 vodního zákona - Část B ZFVH;</w:t>
      </w:r>
    </w:p>
    <w:p w:rsidR="00331705" w:rsidRPr="00041C1A" w:rsidRDefault="00331705" w:rsidP="00331705">
      <w:pPr>
        <w:pStyle w:val="Zkladntext"/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Náhrady</w:t>
      </w:r>
      <w:r w:rsidRPr="009E5C3D">
        <w:rPr>
          <w:rFonts w:ascii="Arial" w:hAnsi="Arial" w:cs="Arial"/>
          <w:b w:val="0"/>
          <w:sz w:val="22"/>
          <w:szCs w:val="22"/>
        </w:rPr>
        <w:t xml:space="preserve"> nákladů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41C1A">
        <w:rPr>
          <w:rFonts w:ascii="Arial" w:hAnsi="Arial" w:cs="Arial"/>
          <w:b w:val="0"/>
          <w:sz w:val="22"/>
          <w:szCs w:val="22"/>
        </w:rPr>
        <w:t>vzniklých při realizaci uložených opatření dle § 42 odst. 4 a 5 vodního zákona (opatření k odstranění následků nedovoleného vypouštění odpadních vod, nedovoleného nakládání se závadnými látkami nebo havárií, popřípadě též opatření k zajištění náhradního odběru vod; dále opatření k nápravě ekologické újmy na povrchových nebo podzemních vodách) – Část C ZFVH.</w:t>
      </w:r>
    </w:p>
    <w:p w:rsidR="00331705" w:rsidRPr="00041C1A" w:rsidRDefault="00331705" w:rsidP="00331705">
      <w:pPr>
        <w:pStyle w:val="Zkladntext"/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Zdrojem finančních prostředků Fondu jsou: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 xml:space="preserve">Poplatky za odběr podzemních vod vyměřené Českou inspekcí životního prostředí, podle </w:t>
      </w:r>
      <w:proofErr w:type="spellStart"/>
      <w:r w:rsidRPr="00041C1A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041C1A">
        <w:rPr>
          <w:rFonts w:ascii="Arial" w:hAnsi="Arial" w:cs="Arial"/>
          <w:b w:val="0"/>
          <w:sz w:val="22"/>
          <w:szCs w:val="22"/>
        </w:rPr>
        <w:t>. § 88 odst. 15 vodního zákona (poplatky jsou hrazeny zálohově; v rámci vyúčtování může dojít k vratce přeplatku);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Prostředky vyčleněné z rozpočtu Ústeckého kraje;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Příspěvky a dary od jiných subjektů;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Úroky z prostředků Fondu na bankovních účtech;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Nevyužité prostředky z podpořených projektů;</w:t>
      </w:r>
    </w:p>
    <w:p w:rsidR="00331705" w:rsidRPr="00041C1A" w:rsidRDefault="00331705" w:rsidP="00331705">
      <w:pPr>
        <w:pStyle w:val="Zkladntext"/>
        <w:numPr>
          <w:ilvl w:val="1"/>
          <w:numId w:val="14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Vrácené neoprávněně čerpané prostředky z Fondu a zaplacené finanční sankce vyplývající z neoprávněného užití prostředků Fondu.</w:t>
      </w:r>
    </w:p>
    <w:p w:rsidR="00331705" w:rsidRPr="00041C1A" w:rsidRDefault="00331705" w:rsidP="00331705">
      <w:pPr>
        <w:pStyle w:val="Zkladntext"/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Podmínky hospodaření Fondu:</w:t>
      </w:r>
    </w:p>
    <w:p w:rsidR="00331705" w:rsidRPr="00041C1A" w:rsidRDefault="00331705" w:rsidP="00331705">
      <w:pPr>
        <w:pStyle w:val="Zkladntext"/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Finanční prostředky Fondu podle čl. 1 odst. 3) ZFVH lze použít účelově v souladu s čl. 1 odst. 2) ZFVH, dle podmínek vymezených v čl. 3 a čl. 11 ZFVH;</w:t>
      </w:r>
    </w:p>
    <w:p w:rsidR="00331705" w:rsidRPr="00041C1A" w:rsidRDefault="00331705" w:rsidP="00331705">
      <w:pPr>
        <w:pStyle w:val="Zkladntext"/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041C1A">
        <w:rPr>
          <w:rFonts w:ascii="Arial" w:hAnsi="Arial" w:cs="Arial"/>
          <w:b w:val="0"/>
          <w:bCs/>
          <w:color w:val="000000"/>
          <w:sz w:val="22"/>
          <w:szCs w:val="22"/>
        </w:rPr>
        <w:t>Pro finanční hospodaření Fondu je zřízen samostatný bankovní účet, ve kterém je sledováno hospodaření dle oblastí vymezených v</w:t>
      </w:r>
      <w:r w:rsidRPr="00041C1A">
        <w:rPr>
          <w:rFonts w:ascii="Arial" w:hAnsi="Arial" w:cs="Arial"/>
          <w:b w:val="0"/>
          <w:color w:val="000000"/>
          <w:sz w:val="22"/>
          <w:szCs w:val="22"/>
        </w:rPr>
        <w:t> čl. 1 odst. 2) ZFVH;</w:t>
      </w:r>
    </w:p>
    <w:p w:rsidR="00331705" w:rsidRPr="00041C1A" w:rsidRDefault="00331705" w:rsidP="00331705">
      <w:pPr>
        <w:pStyle w:val="Zkladntext"/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Nevyčerpaný zůstatek na bankovním účtu Fondu k 31. 12. každého kalendářního roku zůstává k použití Fondu i pro následující účetní období;</w:t>
      </w:r>
    </w:p>
    <w:p w:rsidR="00331705" w:rsidRPr="008F3242" w:rsidRDefault="00331705" w:rsidP="00331705">
      <w:pPr>
        <w:pStyle w:val="Zkladntext"/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 xml:space="preserve">Povinná rezerva Fondu </w:t>
      </w:r>
      <w:r>
        <w:rPr>
          <w:rFonts w:ascii="Arial" w:hAnsi="Arial" w:cs="Arial"/>
          <w:b w:val="0"/>
          <w:bCs/>
          <w:sz w:val="22"/>
          <w:szCs w:val="22"/>
        </w:rPr>
        <w:t xml:space="preserve">( zvláštní účet dle § 42 odst. 4 vodního zákona ) </w:t>
      </w:r>
      <w:r w:rsidRPr="00041C1A">
        <w:rPr>
          <w:rFonts w:ascii="Arial" w:hAnsi="Arial" w:cs="Arial"/>
          <w:b w:val="0"/>
          <w:bCs/>
          <w:sz w:val="22"/>
          <w:szCs w:val="22"/>
        </w:rPr>
        <w:t xml:space="preserve">na financování opatření podle § 42 odst. 4 a 5 vodního zákona, je v souladu s ustanoveními § 42 odst. 4 vodního zákona doplňována do výše 10 mil. Kč ročně. Její využití upravuje </w:t>
      </w:r>
      <w:r w:rsidRPr="00041C1A">
        <w:rPr>
          <w:rFonts w:ascii="Arial" w:hAnsi="Arial" w:cs="Arial"/>
          <w:b w:val="0"/>
          <w:bCs/>
          <w:color w:val="000000"/>
          <w:sz w:val="22"/>
          <w:szCs w:val="22"/>
        </w:rPr>
        <w:t>čl. 11 ZFVH.</w:t>
      </w:r>
    </w:p>
    <w:p w:rsidR="00331705" w:rsidRPr="008F3242" w:rsidRDefault="00331705" w:rsidP="00331705">
      <w:pPr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8F3242">
        <w:rPr>
          <w:rFonts w:ascii="Arial" w:hAnsi="Arial" w:cs="Arial"/>
          <w:bCs/>
          <w:sz w:val="22"/>
          <w:szCs w:val="22"/>
        </w:rPr>
        <w:t xml:space="preserve">Vyčerpané prostředky ze zvláštního účtu za kalendářní rok budou doplněny příjmy z poplatků za odběr podzemní vody na území Ústeckého kraje podle § 88 </w:t>
      </w:r>
      <w:r>
        <w:rPr>
          <w:rFonts w:ascii="Arial" w:hAnsi="Arial" w:cs="Arial"/>
          <w:bCs/>
          <w:sz w:val="22"/>
          <w:szCs w:val="22"/>
        </w:rPr>
        <w:t xml:space="preserve">odst. 15 </w:t>
      </w:r>
      <w:r w:rsidRPr="008F3242">
        <w:rPr>
          <w:rFonts w:ascii="Arial" w:hAnsi="Arial" w:cs="Arial"/>
          <w:bCs/>
          <w:sz w:val="22"/>
          <w:szCs w:val="22"/>
        </w:rPr>
        <w:t>zákona o vodách při schvalování rozpočtu pro následující kalendářní rok.</w:t>
      </w:r>
    </w:p>
    <w:p w:rsidR="00331705" w:rsidRPr="00041C1A" w:rsidRDefault="00331705" w:rsidP="00331705">
      <w:pPr>
        <w:pStyle w:val="Zkladntext"/>
        <w:numPr>
          <w:ilvl w:val="0"/>
          <w:numId w:val="1"/>
        </w:numPr>
        <w:spacing w:before="120" w:after="480"/>
        <w:ind w:left="425" w:hanging="425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lastRenderedPageBreak/>
        <w:t>Fond administruje odbor životního prostředí a zemědělství (dále také „ZPZ“).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2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Vymezení pojmů</w:t>
            </w:r>
          </w:p>
        </w:tc>
      </w:tr>
    </w:tbl>
    <w:p w:rsidR="00331705" w:rsidRPr="00041C1A" w:rsidRDefault="00331705" w:rsidP="00331705">
      <w:pPr>
        <w:pStyle w:val="Zkladntex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Cs/>
          <w:sz w:val="22"/>
          <w:szCs w:val="22"/>
        </w:rPr>
        <w:t xml:space="preserve">Dotace </w:t>
      </w:r>
      <w:r w:rsidRPr="00041C1A">
        <w:rPr>
          <w:rFonts w:ascii="Arial" w:hAnsi="Arial" w:cs="Arial"/>
          <w:b w:val="0"/>
          <w:bCs/>
          <w:sz w:val="22"/>
          <w:szCs w:val="22"/>
        </w:rPr>
        <w:t>poskytnuté z Fondu</w:t>
      </w:r>
      <w:r w:rsidRPr="00041C1A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Pr="00041C1A">
        <w:rPr>
          <w:rFonts w:ascii="Arial" w:hAnsi="Arial" w:cs="Arial"/>
          <w:b w:val="0"/>
          <w:bCs/>
          <w:sz w:val="22"/>
          <w:szCs w:val="22"/>
        </w:rPr>
        <w:t>jsou finanční prostředky poskytnuté příjemci ze zvláštního účtu Fondu vymezeného v rozpočtu kraje na úhradu uznatelných výdajů vzniklých při realizaci činností dle</w:t>
      </w:r>
      <w:r w:rsidRPr="00041C1A">
        <w:rPr>
          <w:rFonts w:ascii="Arial" w:hAnsi="Arial" w:cs="Arial"/>
          <w:b w:val="0"/>
          <w:sz w:val="22"/>
          <w:szCs w:val="22"/>
        </w:rPr>
        <w:t xml:space="preserve"> čl. 1 odst. 2) písm. a) ZFVH. 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Cs/>
          <w:sz w:val="22"/>
          <w:szCs w:val="22"/>
        </w:rPr>
        <w:t>Žadatelem o dotaci</w:t>
      </w:r>
      <w:r w:rsidRPr="00041C1A">
        <w:rPr>
          <w:rFonts w:ascii="Arial" w:hAnsi="Arial" w:cs="Arial"/>
          <w:b w:val="0"/>
          <w:bCs/>
          <w:sz w:val="22"/>
          <w:szCs w:val="22"/>
        </w:rPr>
        <w:t xml:space="preserve"> mohou být následující subjekty se sídlem na území nebo působící na území Ústeckého kraje:</w:t>
      </w:r>
    </w:p>
    <w:p w:rsidR="00331705" w:rsidRPr="00041C1A" w:rsidRDefault="00331705" w:rsidP="00331705">
      <w:pPr>
        <w:pStyle w:val="Zkladntext"/>
        <w:numPr>
          <w:ilvl w:val="1"/>
          <w:numId w:val="16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obec;</w:t>
      </w:r>
    </w:p>
    <w:p w:rsidR="00331705" w:rsidRPr="00041C1A" w:rsidRDefault="00331705" w:rsidP="00331705">
      <w:pPr>
        <w:pStyle w:val="Zkladntext"/>
        <w:numPr>
          <w:ilvl w:val="1"/>
          <w:numId w:val="16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svazek obcí (</w:t>
      </w:r>
      <w:r>
        <w:rPr>
          <w:rFonts w:ascii="Arial" w:hAnsi="Arial" w:cs="Arial"/>
          <w:b w:val="0"/>
          <w:bCs/>
          <w:sz w:val="22"/>
          <w:szCs w:val="22"/>
        </w:rPr>
        <w:t>vytvořený</w:t>
      </w:r>
      <w:r w:rsidRPr="00041C1A">
        <w:rPr>
          <w:rFonts w:ascii="Arial" w:hAnsi="Arial" w:cs="Arial"/>
          <w:b w:val="0"/>
          <w:bCs/>
          <w:sz w:val="22"/>
          <w:szCs w:val="22"/>
        </w:rPr>
        <w:t xml:space="preserve"> dle </w:t>
      </w:r>
      <w:r>
        <w:rPr>
          <w:rFonts w:ascii="Arial" w:hAnsi="Arial" w:cs="Arial"/>
          <w:b w:val="0"/>
          <w:bCs/>
          <w:sz w:val="22"/>
          <w:szCs w:val="22"/>
        </w:rPr>
        <w:t xml:space="preserve">§ 49 </w:t>
      </w:r>
      <w:r w:rsidRPr="00041C1A">
        <w:rPr>
          <w:rFonts w:ascii="Arial" w:hAnsi="Arial" w:cs="Arial"/>
          <w:b w:val="0"/>
          <w:bCs/>
          <w:sz w:val="22"/>
          <w:szCs w:val="22"/>
        </w:rPr>
        <w:t>zákona č. 128/2000 Sb., o obcích (obecní zřízení));</w:t>
      </w:r>
    </w:p>
    <w:p w:rsidR="00331705" w:rsidRPr="00033D5B" w:rsidRDefault="00331705" w:rsidP="00331705">
      <w:pPr>
        <w:pStyle w:val="Zkladntext"/>
        <w:numPr>
          <w:ilvl w:val="1"/>
          <w:numId w:val="16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FA6C09">
        <w:rPr>
          <w:rFonts w:ascii="Arial" w:hAnsi="Arial" w:cs="Arial"/>
          <w:b w:val="0"/>
          <w:bCs/>
          <w:sz w:val="22"/>
          <w:szCs w:val="22"/>
        </w:rPr>
        <w:t xml:space="preserve">právnická osoba založená dle </w:t>
      </w:r>
      <w:r w:rsidRPr="00033D5B">
        <w:rPr>
          <w:rFonts w:ascii="Arial" w:hAnsi="Arial" w:cs="Arial"/>
          <w:b w:val="0"/>
          <w:bCs/>
          <w:sz w:val="22"/>
          <w:szCs w:val="22"/>
        </w:rPr>
        <w:t>obchodního zákoníku</w:t>
      </w:r>
      <w:r>
        <w:rPr>
          <w:rStyle w:val="Znakapoznpodarou"/>
          <w:rFonts w:ascii="Arial" w:hAnsi="Arial" w:cs="Arial"/>
          <w:b w:val="0"/>
          <w:bCs/>
          <w:sz w:val="22"/>
          <w:szCs w:val="22"/>
        </w:rPr>
        <w:footnoteReference w:id="1"/>
      </w:r>
      <w:r w:rsidRPr="00033D5B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3E665F">
        <w:rPr>
          <w:rFonts w:ascii="Arial" w:hAnsi="Arial" w:cs="Arial"/>
          <w:b w:val="0"/>
          <w:bCs/>
          <w:sz w:val="22"/>
          <w:szCs w:val="22"/>
        </w:rPr>
        <w:t>která j</w:t>
      </w:r>
      <w:r w:rsidRPr="002915C2">
        <w:rPr>
          <w:rFonts w:ascii="Arial" w:hAnsi="Arial" w:cs="Arial"/>
          <w:b w:val="0"/>
          <w:bCs/>
          <w:sz w:val="22"/>
          <w:szCs w:val="22"/>
        </w:rPr>
        <w:t>e</w:t>
      </w:r>
      <w:r w:rsidRPr="008F3242">
        <w:rPr>
          <w:rFonts w:ascii="Arial" w:hAnsi="Arial" w:cs="Arial"/>
          <w:b w:val="0"/>
          <w:bCs/>
          <w:sz w:val="22"/>
          <w:szCs w:val="22"/>
        </w:rPr>
        <w:t xml:space="preserve"> vlastníkem nebo provozovatelem vodovodu nebo kanalizace pro veřejnou potřebu</w:t>
      </w:r>
      <w:r w:rsidRPr="00041C1A">
        <w:rPr>
          <w:rStyle w:val="Znakapoznpodarou"/>
          <w:rFonts w:ascii="Arial" w:hAnsi="Arial" w:cs="Arial"/>
          <w:b w:val="0"/>
          <w:bCs/>
          <w:sz w:val="22"/>
          <w:szCs w:val="22"/>
        </w:rPr>
        <w:footnoteReference w:id="2"/>
      </w:r>
      <w:r>
        <w:rPr>
          <w:rFonts w:ascii="Arial" w:hAnsi="Arial" w:cs="Arial"/>
          <w:b w:val="0"/>
          <w:bCs/>
          <w:sz w:val="22"/>
          <w:szCs w:val="22"/>
        </w:rPr>
        <w:t>, v niž má</w:t>
      </w:r>
      <w:r w:rsidRPr="00FA6C09">
        <w:rPr>
          <w:rFonts w:ascii="Arial" w:hAnsi="Arial" w:cs="Arial"/>
          <w:b w:val="0"/>
          <w:bCs/>
          <w:sz w:val="22"/>
          <w:szCs w:val="22"/>
        </w:rPr>
        <w:t xml:space="preserve"> obec,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FA6C09">
        <w:rPr>
          <w:rFonts w:ascii="Arial" w:hAnsi="Arial" w:cs="Arial"/>
          <w:b w:val="0"/>
          <w:bCs/>
          <w:sz w:val="22"/>
          <w:szCs w:val="22"/>
        </w:rPr>
        <w:t xml:space="preserve">majetkovou účast </w:t>
      </w:r>
      <w:r w:rsidRPr="00033D5B">
        <w:rPr>
          <w:rFonts w:ascii="Arial" w:hAnsi="Arial" w:cs="Arial"/>
          <w:b w:val="0"/>
          <w:bCs/>
          <w:sz w:val="22"/>
          <w:szCs w:val="22"/>
        </w:rPr>
        <w:t>minimálně 51%.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Cs/>
          <w:sz w:val="22"/>
          <w:szCs w:val="22"/>
        </w:rPr>
        <w:t>Za vodohospodářskou infrastrukturu</w:t>
      </w:r>
      <w:r w:rsidRPr="00041C1A">
        <w:rPr>
          <w:rFonts w:ascii="Arial" w:hAnsi="Arial" w:cs="Arial"/>
          <w:b w:val="0"/>
          <w:bCs/>
          <w:sz w:val="22"/>
          <w:szCs w:val="22"/>
        </w:rPr>
        <w:t xml:space="preserve"> se pro účely těchto zásad považují zejména:</w:t>
      </w:r>
    </w:p>
    <w:p w:rsidR="00331705" w:rsidRPr="00041C1A" w:rsidRDefault="00331705" w:rsidP="00331705">
      <w:pPr>
        <w:pStyle w:val="Zkladntext"/>
        <w:numPr>
          <w:ilvl w:val="1"/>
          <w:numId w:val="28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zdroje pitné vody, stavby vodovodních řadů a vodárenských objektů vč. úpraven vody a jiné součásti vodovodů pro veřejnou potřebu;</w:t>
      </w:r>
    </w:p>
    <w:p w:rsidR="00331705" w:rsidRPr="00041C1A" w:rsidRDefault="00331705" w:rsidP="00331705">
      <w:pPr>
        <w:pStyle w:val="Zkladntext"/>
        <w:numPr>
          <w:ilvl w:val="1"/>
          <w:numId w:val="28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 xml:space="preserve">stavby kanalizačních stok, kanalizačních objektů, čistíren odpadních vod, kořenových čistíren odpadních vod a jiných součástí kanalizace pro veřejnou potřebu; </w:t>
      </w:r>
    </w:p>
    <w:p w:rsidR="00331705" w:rsidRPr="00041C1A" w:rsidRDefault="00331705" w:rsidP="00331705">
      <w:pPr>
        <w:pStyle w:val="Zkladntext"/>
        <w:numPr>
          <w:ilvl w:val="1"/>
          <w:numId w:val="28"/>
        </w:numPr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stavby a zařízení na ochranu před povodněmi, stavby retenčních prostorů (vodních nádrží, suchých poldrů), stavby dešťových kanalizací včetně objektů k zasakování dešťových vod, stavby k vodohospodářským melioracím a úpravě vodní bilance (zavlažování a odvodnění pozemků, převody vody, ochrana pozemků před erozní činností vody), vodohospodářská opatření spojená s obnovou environmentálních funkcí území (revitalizace a obnova funkce pramenných oblastí, revitalizace a úprava toků, realizace opatření k ochraně zdrojů pitné vody).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Úplnou žádostí o dotaci </w:t>
      </w:r>
      <w:r w:rsidRPr="00041C1A">
        <w:rPr>
          <w:rFonts w:ascii="Arial" w:hAnsi="Arial" w:cs="Arial"/>
          <w:b w:val="0"/>
          <w:sz w:val="22"/>
          <w:szCs w:val="22"/>
        </w:rPr>
        <w:t>se rozumí vyplněný předepsaný formulář žádosti (příloha č. 1 ZFVH) včetně nedílných příloh vymezených dle čl. 2 odst. 5) ZFVH.</w:t>
      </w:r>
    </w:p>
    <w:p w:rsidR="00331705" w:rsidRPr="00041C1A" w:rsidRDefault="00331705" w:rsidP="00331705">
      <w:pPr>
        <w:pStyle w:val="Zkladntext"/>
        <w:spacing w:before="12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 xml:space="preserve">Žádost a přílohy jsou považovány za úplné, pokud netrpí následujícími nedostatky: podání žádosti subjektem nesplňujícím kritéria žadatele dle čl. 2 odst. 2) ZFVH; absence, neúplnost a chyby v předepsaných formulářích; nedodržení procentuálního podílu dotace a výše požadované dotace dle čl. 3 odst. 3) ZFVH; zařazení neuznatelných výdajů dle čl. 2 </w:t>
      </w:r>
      <w:r>
        <w:rPr>
          <w:rFonts w:ascii="Arial" w:hAnsi="Arial" w:cs="Arial"/>
          <w:b w:val="0"/>
          <w:sz w:val="22"/>
          <w:szCs w:val="22"/>
        </w:rPr>
        <w:t>odst.</w:t>
      </w:r>
      <w:r w:rsidRPr="00041C1A">
        <w:rPr>
          <w:rFonts w:ascii="Arial" w:hAnsi="Arial" w:cs="Arial"/>
          <w:b w:val="0"/>
          <w:sz w:val="22"/>
          <w:szCs w:val="22"/>
        </w:rPr>
        <w:t xml:space="preserve"> 7) ZFVH.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Nedílnými přílohami </w:t>
      </w:r>
      <w:r w:rsidRPr="00041C1A">
        <w:rPr>
          <w:rFonts w:ascii="Arial" w:hAnsi="Arial" w:cs="Arial"/>
          <w:b w:val="0"/>
          <w:sz w:val="22"/>
          <w:szCs w:val="22"/>
        </w:rPr>
        <w:t>k žádosti o dotaci jsou</w:t>
      </w:r>
      <w:r w:rsidRPr="00041C1A">
        <w:rPr>
          <w:rFonts w:ascii="Arial" w:hAnsi="Arial" w:cs="Arial"/>
          <w:sz w:val="22"/>
          <w:szCs w:val="22"/>
        </w:rPr>
        <w:t>: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tabs>
          <w:tab w:val="left" w:pos="567"/>
        </w:tabs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u právnických osob doklady osvědčující právní subjektivitu žadatele o dotaci (např. výpis z obchodního rejstříku, </w:t>
      </w:r>
      <w:r w:rsidRPr="00AB4851">
        <w:rPr>
          <w:rFonts w:ascii="Arial" w:hAnsi="Arial" w:cs="Arial"/>
          <w:sz w:val="22"/>
          <w:szCs w:val="22"/>
        </w:rPr>
        <w:t>výpis z Živnostenského rejstříku České republiky</w:t>
      </w:r>
      <w:r>
        <w:rPr>
          <w:rFonts w:ascii="Arial" w:hAnsi="Arial" w:cs="Arial"/>
          <w:sz w:val="22"/>
          <w:szCs w:val="22"/>
        </w:rPr>
        <w:t xml:space="preserve">, </w:t>
      </w:r>
      <w:r w:rsidRPr="00041C1A">
        <w:rPr>
          <w:rFonts w:ascii="Arial" w:hAnsi="Arial" w:cs="Arial"/>
          <w:sz w:val="22"/>
          <w:szCs w:val="22"/>
        </w:rPr>
        <w:t>výpis z registru ekonomických subjektů) a další doklady (např. společenská smlouva, stanovy, statut, živnostenský list, zřizovací listina), a to v kopii;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doklady ustanovení (např. volba, jmenování) zástupce právnické osoby, současně s dokladem osvědčujícím jeho oprávnění </w:t>
      </w:r>
      <w:r>
        <w:rPr>
          <w:rFonts w:ascii="Arial" w:hAnsi="Arial" w:cs="Arial"/>
          <w:sz w:val="22"/>
          <w:szCs w:val="22"/>
        </w:rPr>
        <w:t>zastupovat</w:t>
      </w:r>
      <w:r w:rsidRPr="00041C1A">
        <w:rPr>
          <w:rFonts w:ascii="Arial" w:hAnsi="Arial" w:cs="Arial"/>
          <w:sz w:val="22"/>
          <w:szCs w:val="22"/>
        </w:rPr>
        <w:t xml:space="preserve"> žadatele o dotaci navenek (podepisování smluv), a to v kopii;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doklady o přidělení IČ a rozhodnutí o registraci a přidělení DIČ (pokud má registrační povinnost), a to v kopii;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doklady o zřízení běžného účtu u peněžního ústavu (smlouva), a to v kopii;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čestné prohlášení dle přílohy č. 2 ZFVH;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lastRenderedPageBreak/>
        <w:t>položkový rozpočet předmětu dotace (příloha č. 3 ZFVH), který bude obsahovat ceny materiálů a prací dle ceníku stavebních prací (např. UNIKA) platného v roce podání žádosti, včetně vymezení struktury zdrojů finančních prostředků k realizaci předmětu dotace (jednotlivé částky a jejich vyjádření procentuálním podílem na celkových plánovaných nákladech projektu);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projekt a harmonogram realizace projektu, včetně čerpání finančních prostředků po letech u projektů přesahujících aktuální rozpočtový rok (příloha č. 4 ZFVH);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41C1A">
        <w:rPr>
          <w:rFonts w:ascii="Arial" w:hAnsi="Arial" w:cs="Arial"/>
          <w:color w:val="000000"/>
          <w:sz w:val="22"/>
          <w:szCs w:val="22"/>
        </w:rPr>
        <w:t>je-li záměr spojen s prováděním stavby, stavby vodního díla nebo s nakládáním s vodami, kopie stavebního povolení, kopie souhlasu s provedením ohlášeného stavebního záměru, kopie stavebního povolení k vodním dílům, kopie souhlasu s provedením ohlášeného stavebního záměru vodního díla, kopie povolení k nakládání s vodami nebo kopie povolení k vypouštění odpadních vod do vod povrchových s  vyznačením nabytí právní moci;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41C1A">
        <w:rPr>
          <w:rFonts w:ascii="Arial" w:hAnsi="Arial" w:cs="Arial"/>
          <w:color w:val="000000"/>
          <w:sz w:val="22"/>
          <w:szCs w:val="22"/>
        </w:rPr>
        <w:t>v návaznosti na předchozí odrážku dokumentace v takovém stupni přípravy, který umožní posouzení možnosti poskytnutí dotace z technického, ekonomického, časového a ekologického hlediska (např. projektová dokumentace pro stavební řízení);</w:t>
      </w:r>
    </w:p>
    <w:p w:rsidR="00331705" w:rsidRPr="00041C1A" w:rsidRDefault="00331705" w:rsidP="00331705">
      <w:pPr>
        <w:pStyle w:val="Normlnweb"/>
        <w:numPr>
          <w:ilvl w:val="1"/>
          <w:numId w:val="17"/>
        </w:numPr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41C1A">
        <w:rPr>
          <w:rFonts w:ascii="Arial" w:hAnsi="Arial" w:cs="Arial"/>
          <w:color w:val="000000"/>
          <w:sz w:val="22"/>
          <w:szCs w:val="22"/>
        </w:rPr>
        <w:t>doklad (příslib, smlouva, rozhodnutí atd.) o kofinancování projektu z jiného zdroje (např. Ministerstvo zemědělství, Státní fond životního prostředí apod.).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color w:val="000000"/>
          <w:sz w:val="22"/>
          <w:szCs w:val="22"/>
        </w:rPr>
        <w:t>Uz</w:t>
      </w:r>
      <w:r w:rsidRPr="00041C1A">
        <w:rPr>
          <w:rFonts w:ascii="Arial" w:hAnsi="Arial" w:cs="Arial"/>
          <w:sz w:val="22"/>
          <w:szCs w:val="22"/>
        </w:rPr>
        <w:t xml:space="preserve">natelný výdaj </w:t>
      </w:r>
      <w:r w:rsidRPr="00041C1A">
        <w:rPr>
          <w:rFonts w:ascii="Arial" w:hAnsi="Arial" w:cs="Arial"/>
          <w:b w:val="0"/>
          <w:sz w:val="22"/>
          <w:szCs w:val="22"/>
        </w:rPr>
        <w:t>je nezbytný výdaj, který není definován jako neuznatelný dle odstavce 7) tohoto článku, a splňuje všechny následující podmínky</w:t>
      </w:r>
      <w:r w:rsidRPr="00041C1A">
        <w:rPr>
          <w:rFonts w:ascii="Arial" w:hAnsi="Arial" w:cs="Arial"/>
          <w:b w:val="0"/>
          <w:bCs/>
          <w:sz w:val="22"/>
          <w:szCs w:val="22"/>
        </w:rPr>
        <w:t>: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vyhovuje zásadám efektivnosti, účelnosti a hospodárnosti;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vznikl příjemci v přímé souvislosti s prováděním projektu ve schváleném období realizace</w:t>
      </w:r>
      <w:r w:rsidRPr="00041C1A">
        <w:rPr>
          <w:rFonts w:ascii="Arial" w:hAnsi="Arial" w:cs="Arial"/>
          <w:b w:val="0"/>
          <w:sz w:val="22"/>
          <w:szCs w:val="22"/>
        </w:rPr>
        <w:t>, včetně technického dozoru;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byl uhrazen do konce realizace projektu;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 xml:space="preserve">byl skutečně vynaložen a zachycen v účetnictví příjemce </w:t>
      </w:r>
      <w:r w:rsidRPr="00041C1A">
        <w:rPr>
          <w:rFonts w:ascii="Arial" w:hAnsi="Arial" w:cs="Arial"/>
          <w:b w:val="0"/>
          <w:sz w:val="22"/>
          <w:szCs w:val="22"/>
        </w:rPr>
        <w:t xml:space="preserve">na </w:t>
      </w:r>
      <w:r w:rsidRPr="00041C1A">
        <w:rPr>
          <w:rFonts w:ascii="Arial" w:hAnsi="Arial" w:cs="Arial"/>
          <w:b w:val="0"/>
          <w:bCs/>
          <w:sz w:val="22"/>
          <w:szCs w:val="22"/>
        </w:rPr>
        <w:t>jeho účetních dokladech</w:t>
      </w:r>
      <w:r w:rsidRPr="00041C1A">
        <w:rPr>
          <w:rFonts w:ascii="Arial" w:hAnsi="Arial" w:cs="Arial"/>
          <w:b w:val="0"/>
          <w:sz w:val="22"/>
          <w:szCs w:val="22"/>
        </w:rPr>
        <w:t>,</w:t>
      </w:r>
      <w:r w:rsidRPr="00041C1A">
        <w:rPr>
          <w:rFonts w:ascii="Arial" w:hAnsi="Arial" w:cs="Arial"/>
          <w:b w:val="0"/>
          <w:bCs/>
          <w:sz w:val="22"/>
          <w:szCs w:val="22"/>
        </w:rPr>
        <w:t xml:space="preserve"> je identifikovatelný, ověřitelný a podložený prvotními podpůrnými doklady.</w:t>
      </w:r>
    </w:p>
    <w:p w:rsidR="00331705" w:rsidRPr="00041C1A" w:rsidRDefault="00331705" w:rsidP="00331705">
      <w:pPr>
        <w:pStyle w:val="Zkladntext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Neuznatelný výdaj </w:t>
      </w:r>
      <w:r w:rsidRPr="00041C1A">
        <w:rPr>
          <w:rFonts w:ascii="Arial" w:hAnsi="Arial" w:cs="Arial"/>
          <w:b w:val="0"/>
          <w:sz w:val="22"/>
          <w:szCs w:val="22"/>
        </w:rPr>
        <w:t>je výdaj na: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pořízení dlouhodobého a krátkodobého finančního majetku;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dlužný úrok;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opatření pro možné budoucí ztráty nebo dluhy;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nákupy pozemků nebo budov;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rekonstrukce a opravy nemovitostí, vyjma veřejných vodovodů a kanalizací a jiných vodních děl sloužících veřejné potřebě;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ztráty z devizových kurzů;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občerstvení a reprezentativní pohoštění;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left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nájemné s následnou koupí (leasing);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cestovné nad rámec úpravy v zákoně č. 262/2006 Sb., zákoník práce, ve znění pozdějších předpisů, pro zaměstnavatele, který je uveden v § 109 odst. 3 tohoto právního předpisu;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mzdy včetně odvodů nad rámec platových předpisů pro zaměstnance ve veřejných službách a správě;</w:t>
      </w:r>
    </w:p>
    <w:p w:rsidR="00331705" w:rsidRPr="00041C1A" w:rsidRDefault="00331705" w:rsidP="00331705">
      <w:pPr>
        <w:pStyle w:val="Zkladntext"/>
        <w:widowControl/>
        <w:numPr>
          <w:ilvl w:val="0"/>
          <w:numId w:val="19"/>
        </w:numPr>
        <w:tabs>
          <w:tab w:val="clear" w:pos="1428"/>
          <w:tab w:val="num" w:pos="993"/>
        </w:tabs>
        <w:spacing w:after="480"/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náhrady mzdy za dobu nepřítomnosti (dovolená, nepřítomnost, nemoc).</w:t>
      </w:r>
    </w:p>
    <w:p w:rsidR="00331705" w:rsidRPr="00041C1A" w:rsidRDefault="00331705" w:rsidP="00331705">
      <w:pPr>
        <w:pStyle w:val="Zkladntext"/>
        <w:widowControl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Cs w:val="24"/>
        </w:rPr>
        <w:t>ČÁST B</w:t>
      </w:r>
    </w:p>
    <w:p w:rsidR="00331705" w:rsidRPr="00041C1A" w:rsidRDefault="00331705" w:rsidP="00331705">
      <w:pPr>
        <w:pStyle w:val="Zkladntext"/>
        <w:widowControl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Cs w:val="24"/>
        </w:rPr>
        <w:t>(k čl. 1 odst. 2 písm. a) ZFVH)</w:t>
      </w:r>
    </w:p>
    <w:p w:rsidR="00331705" w:rsidRPr="00041C1A" w:rsidRDefault="00331705" w:rsidP="00331705">
      <w:pPr>
        <w:pStyle w:val="Zkladntext"/>
        <w:widowControl/>
        <w:spacing w:after="240"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Cs w:val="24"/>
        </w:rPr>
        <w:t xml:space="preserve">PODPORA VÝSTAVBY </w:t>
      </w:r>
      <w:r>
        <w:rPr>
          <w:rFonts w:ascii="Arial" w:hAnsi="Arial" w:cs="Arial"/>
          <w:bCs/>
          <w:szCs w:val="24"/>
        </w:rPr>
        <w:t xml:space="preserve">A OBNOVY </w:t>
      </w:r>
      <w:r w:rsidRPr="00041C1A">
        <w:rPr>
          <w:rFonts w:ascii="Arial" w:hAnsi="Arial" w:cs="Arial"/>
          <w:bCs/>
          <w:szCs w:val="24"/>
        </w:rPr>
        <w:t>VODOHOSPODÁŘSKÉ INFRASTRUKTURY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3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Podmínky pro poskytnutí dotace a její použití</w:t>
            </w:r>
          </w:p>
        </w:tc>
      </w:tr>
    </w:tbl>
    <w:p w:rsidR="00331705" w:rsidRPr="00041C1A" w:rsidRDefault="00331705" w:rsidP="00331705">
      <w:pPr>
        <w:widowControl w:val="0"/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Sledovaný záměr dotace je zvýšení vybavenosti sídel vodohospodářskou infrastrukturou, zvýšení počtu napojených obyvatel na kanalizaci a vyhovující čistírnu odpadních vod, zlepšení kvality vod, omezení zdrojů bodového znečištění, zlepšení </w:t>
      </w:r>
      <w:r w:rsidRPr="00041C1A">
        <w:rPr>
          <w:rFonts w:ascii="Arial" w:hAnsi="Arial" w:cs="Arial"/>
          <w:sz w:val="22"/>
          <w:szCs w:val="22"/>
        </w:rPr>
        <w:lastRenderedPageBreak/>
        <w:t>zásobování pitnou vodou, obnova narušeného vodního režimu a zvýšení retenční schopnosti krajiny v pramenných oblastech, prevence a snížení následků povodní, ochrana vodních zdrojů.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Forma a předmět dotace jsou stanoveny následovně:</w:t>
      </w:r>
    </w:p>
    <w:p w:rsidR="00331705" w:rsidRPr="00041C1A" w:rsidRDefault="00331705" w:rsidP="00331705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Dotace je poskytována jako investiční. </w:t>
      </w:r>
    </w:p>
    <w:p w:rsidR="00331705" w:rsidRPr="00041C1A" w:rsidRDefault="00331705" w:rsidP="00331705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Dotace bude poskytována na úhradu uznatelných výdajů vzniklých v souvislosti s realizací výstavby, rekonstrukce (technické zhodnocení), modernizace, revitalizace a obnovy vodohospodářské infrastruktury.</w:t>
      </w:r>
    </w:p>
    <w:p w:rsidR="00331705" w:rsidRPr="00041C1A" w:rsidRDefault="00331705" w:rsidP="00331705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041C1A">
        <w:rPr>
          <w:rFonts w:ascii="Arial" w:hAnsi="Arial" w:cs="Arial"/>
          <w:bCs/>
          <w:iCs/>
          <w:sz w:val="22"/>
          <w:szCs w:val="22"/>
        </w:rPr>
        <w:t>Předmětem dotace nejsou: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domovní čistírny odpadních vod;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kanalizační přípojky (samostatná stavba </w:t>
      </w:r>
      <w:r w:rsidRPr="00041C1A">
        <w:rPr>
          <w:rFonts w:ascii="Arial" w:hAnsi="Arial" w:cs="Arial"/>
          <w:iCs/>
          <w:sz w:val="22"/>
          <w:szCs w:val="22"/>
        </w:rPr>
        <w:t>tvořená úsekem potrubí od vyústění vnitřní kanalizace stavby nebo odvodnění pozemku k zaústění do stokové sítě)</w:t>
      </w:r>
      <w:r w:rsidRPr="00041C1A">
        <w:rPr>
          <w:rFonts w:ascii="Arial" w:hAnsi="Arial" w:cs="Arial"/>
          <w:sz w:val="22"/>
          <w:szCs w:val="22"/>
        </w:rPr>
        <w:t>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kanalizace v případě, že obec nemá zajištěno odpovídající čištění odpadních vod;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kanalizace a ČOV pro bytovou a jinou výstavbu, která ještě není realizována (zasíťování nových stavebních pozemků);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vodovodní přípojky (</w:t>
      </w:r>
      <w:r w:rsidRPr="00041C1A">
        <w:rPr>
          <w:rFonts w:ascii="Arial" w:hAnsi="Arial" w:cs="Arial"/>
          <w:iCs/>
          <w:sz w:val="22"/>
          <w:szCs w:val="22"/>
        </w:rPr>
        <w:t>samostatná stavba tvořená úsekem potrubí od odbočení z vodovodního řadu k vodoměru, a není-li vodoměr, pak k vnitřnímu uzávěru připojeného pozemku nebo stavby);</w:t>
      </w:r>
    </w:p>
    <w:p w:rsidR="00331705" w:rsidRPr="00041C1A" w:rsidRDefault="00331705" w:rsidP="00CB34BD">
      <w:pPr>
        <w:keepLines/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vodovody pro bytovou a jinou výstavbu, která ještě není realizována (zasíťování nových stavebních pozemků) a dále v případě, že není zajištěn zdroj vody splňující požadavky dle zvláštních předpisů;</w:t>
      </w:r>
    </w:p>
    <w:p w:rsidR="00331705" w:rsidRPr="00041C1A" w:rsidRDefault="00331705" w:rsidP="00CB34BD">
      <w:pPr>
        <w:keepLines/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domovní studny;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opatření, která budou sloužit k hospodářské činnosti (vyjma případů vodohospodářské infrastruktury pro obnovu environmentálních funkcí území);</w:t>
      </w:r>
    </w:p>
    <w:p w:rsidR="00331705" w:rsidRPr="00041C1A" w:rsidRDefault="00331705" w:rsidP="00CB34BD">
      <w:pPr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opravy a opatření, která jsou běžnou údržbou či péčí, tedy zákonnou povinností vlastníka vodohospodářského díla;</w:t>
      </w:r>
    </w:p>
    <w:p w:rsidR="00331705" w:rsidRPr="00041C1A" w:rsidRDefault="00331705" w:rsidP="00CB34BD">
      <w:pPr>
        <w:pStyle w:val="Zkladntext"/>
        <w:widowControl/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výběrové řízení na zhotovitele projektu;</w:t>
      </w:r>
    </w:p>
    <w:p w:rsidR="00331705" w:rsidRPr="00041C1A" w:rsidRDefault="00331705" w:rsidP="00CB34BD">
      <w:pPr>
        <w:pStyle w:val="Zkladntext"/>
        <w:widowControl/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projekty, u kterých bylo ukončeno financování k datu podání žádosti;</w:t>
      </w:r>
    </w:p>
    <w:p w:rsidR="00331705" w:rsidRPr="00041C1A" w:rsidRDefault="00331705" w:rsidP="00CB34BD">
      <w:pPr>
        <w:pStyle w:val="Zkladntext"/>
        <w:widowControl/>
        <w:numPr>
          <w:ilvl w:val="0"/>
          <w:numId w:val="21"/>
        </w:numPr>
        <w:tabs>
          <w:tab w:val="clear" w:pos="720"/>
          <w:tab w:val="num" w:pos="1276"/>
        </w:tabs>
        <w:ind w:left="1276" w:hanging="425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bCs/>
          <w:sz w:val="22"/>
          <w:szCs w:val="22"/>
        </w:rPr>
        <w:t>projektové dokumentace.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Maximální procentuální podíl dotace a maximální výše poskytované dotace</w:t>
      </w:r>
    </w:p>
    <w:p w:rsidR="00331705" w:rsidRPr="00041C1A" w:rsidRDefault="00331705" w:rsidP="00331705">
      <w:pPr>
        <w:numPr>
          <w:ilvl w:val="1"/>
          <w:numId w:val="2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Maximální procentuální podíl dotace na celkových uznatelných nákladech projektu je 70 %. Konkrétní výše podílu dotace bude stanovena rozhodnutím orgánu Ústeckého kraje o poskytnutí dotace.</w:t>
      </w:r>
    </w:p>
    <w:p w:rsidR="00331705" w:rsidRPr="00041C1A" w:rsidRDefault="00331705" w:rsidP="00331705">
      <w:pPr>
        <w:numPr>
          <w:ilvl w:val="1"/>
          <w:numId w:val="2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Maximální výše poskytované dotace</w:t>
      </w:r>
      <w:r>
        <w:rPr>
          <w:rFonts w:ascii="Arial" w:hAnsi="Arial" w:cs="Arial"/>
          <w:sz w:val="22"/>
          <w:szCs w:val="22"/>
        </w:rPr>
        <w:t xml:space="preserve">, která je poskytována v režimu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41C1A">
        <w:rPr>
          <w:rFonts w:ascii="Arial" w:hAnsi="Arial" w:cs="Arial"/>
          <w:sz w:val="22"/>
          <w:szCs w:val="22"/>
        </w:rPr>
        <w:t>činí 200 000 EUR za podmínek vymezených v čl. 4 ZFVH.</w:t>
      </w:r>
    </w:p>
    <w:p w:rsidR="00331705" w:rsidRPr="00041C1A" w:rsidRDefault="00331705" w:rsidP="00331705">
      <w:pPr>
        <w:numPr>
          <w:ilvl w:val="1"/>
          <w:numId w:val="2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Minimální výše poskytované dotace není stanovena.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 xml:space="preserve">Souběžné poskytování účelové dotace z rozpočtu kraje s podporou ze Státního fondu životního prostředí, státního rozpočtu, programů Ministerstva zemědělství, Programu rozvoje venkova, Operačního programu Životního prostředí, iniciativ Společenství nebo jiných finančních zdrojů, není vyloučeno. V souladu s čl. 2 odst. 5 Nařízení komise ES č. 1998/2006 nelze podporu de </w:t>
      </w:r>
      <w:proofErr w:type="spellStart"/>
      <w:r w:rsidRPr="00041C1A">
        <w:rPr>
          <w:rFonts w:ascii="Arial" w:hAnsi="Arial" w:cs="Arial"/>
          <w:b w:val="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b w:val="0"/>
          <w:sz w:val="22"/>
          <w:szCs w:val="22"/>
        </w:rPr>
        <w:t xml:space="preserve"> kumulovat se státní podporou ohledně týchž způsobilých nákladů, pokud by takováto kumulace měla za následek míru podpory převyšující míru stanovenou pro specifické okolnosti každého případu v nařízení nebo rozhodnutí Komise o blokové výjimce.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Závazné termíny:</w:t>
      </w:r>
    </w:p>
    <w:p w:rsidR="00331705" w:rsidRPr="00041C1A" w:rsidRDefault="00331705" w:rsidP="00331705">
      <w:pPr>
        <w:numPr>
          <w:ilvl w:val="0"/>
          <w:numId w:val="23"/>
        </w:numPr>
        <w:spacing w:before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Termín uzávěrky pro přijímání žádostí a termín vyhlášení výsledků výběru příjemců bude stanoven na základě výzvy uveřejněné na webových stránkách Ústeckého kraje.</w:t>
      </w:r>
      <w:r w:rsidRPr="00041C1A">
        <w:rPr>
          <w:rFonts w:ascii="Arial" w:hAnsi="Arial" w:cs="Arial"/>
        </w:rPr>
        <w:t xml:space="preserve"> </w:t>
      </w:r>
    </w:p>
    <w:p w:rsidR="00331705" w:rsidRPr="00041C1A" w:rsidRDefault="00331705" w:rsidP="00331705">
      <w:pPr>
        <w:numPr>
          <w:ilvl w:val="0"/>
          <w:numId w:val="23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Výsledek rozhodnutí orgánu Ústeckého kraje o poskytnutí dotace bude zveřejněn do 15 kalendářních dnů po ověření příslušného usnesení na webových stránkách Ústeckého kraje.</w:t>
      </w:r>
    </w:p>
    <w:p w:rsidR="00331705" w:rsidRPr="00041C1A" w:rsidRDefault="00331705" w:rsidP="00331705">
      <w:pPr>
        <w:numPr>
          <w:ilvl w:val="0"/>
          <w:numId w:val="23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Termín pro předložení závěrečné zprávy </w:t>
      </w:r>
      <w:r>
        <w:rPr>
          <w:rFonts w:ascii="Arial" w:hAnsi="Arial" w:cs="Arial"/>
          <w:sz w:val="22"/>
          <w:szCs w:val="22"/>
        </w:rPr>
        <w:t>s vyúčtováním</w:t>
      </w:r>
      <w:r w:rsidRPr="00041C1A">
        <w:rPr>
          <w:rFonts w:ascii="Arial" w:hAnsi="Arial" w:cs="Arial"/>
          <w:sz w:val="22"/>
          <w:szCs w:val="22"/>
        </w:rPr>
        <w:t xml:space="preserve"> je nejpozději do 30 dnů po ukončení realizace projektu.</w:t>
      </w:r>
    </w:p>
    <w:p w:rsidR="00331705" w:rsidRPr="00041C1A" w:rsidRDefault="00331705" w:rsidP="00331705">
      <w:pPr>
        <w:numPr>
          <w:ilvl w:val="0"/>
          <w:numId w:val="23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lastRenderedPageBreak/>
        <w:t xml:space="preserve">Období </w:t>
      </w:r>
      <w:proofErr w:type="spellStart"/>
      <w:r w:rsidRPr="00041C1A">
        <w:rPr>
          <w:rFonts w:ascii="Arial" w:hAnsi="Arial" w:cs="Arial"/>
          <w:sz w:val="22"/>
          <w:szCs w:val="22"/>
        </w:rPr>
        <w:t>uznatelnosti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výdajů: po dobu trvání projektu uvedenou žadatelem v žádosti v kalendářním roce, v němž bylo rozhodnuto o poskytnutí dotace, a dále v následujících letech trvání víceletých projektů, při respektování nejzazšího termínu ukončení realizace projektu.</w:t>
      </w:r>
    </w:p>
    <w:p w:rsidR="00331705" w:rsidRPr="00041C1A" w:rsidRDefault="00331705" w:rsidP="00331705">
      <w:pPr>
        <w:pStyle w:val="Odstavecseseznamem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(Poznámka: předložené kopie faktur a ostatních účetních dokladů budou uznatelné pouze s datem vystavení a uskutečněním zdanitelného plnění do termínu ukončení realizace projektu).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Dotaci na </w:t>
      </w:r>
      <w:r w:rsidRPr="00041C1A">
        <w:rPr>
          <w:rFonts w:ascii="Arial" w:hAnsi="Arial" w:cs="Arial"/>
          <w:color w:val="000000"/>
          <w:sz w:val="22"/>
          <w:szCs w:val="22"/>
        </w:rPr>
        <w:t xml:space="preserve">záměr spojený s prováděním stavby, stavby vodního díla </w:t>
      </w:r>
      <w:r w:rsidRPr="00041C1A">
        <w:rPr>
          <w:rFonts w:ascii="Arial" w:hAnsi="Arial" w:cs="Arial"/>
          <w:sz w:val="22"/>
          <w:szCs w:val="22"/>
        </w:rPr>
        <w:t>lze poskytnout pouze za předpokladu vydaného pravomocného povolení dle čl. 2 odst. 5) písm. h) ZFVH.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Dotaci lze </w:t>
      </w:r>
      <w:r>
        <w:rPr>
          <w:rFonts w:ascii="Arial" w:hAnsi="Arial" w:cs="Arial"/>
          <w:sz w:val="22"/>
          <w:szCs w:val="22"/>
        </w:rPr>
        <w:t>poskytnout</w:t>
      </w:r>
      <w:r w:rsidRPr="00041C1A">
        <w:rPr>
          <w:rFonts w:ascii="Arial" w:hAnsi="Arial" w:cs="Arial"/>
          <w:sz w:val="22"/>
          <w:szCs w:val="22"/>
        </w:rPr>
        <w:t xml:space="preserve"> pouze na projekt, který je v souladu s koncepčními dokumenty kraje schválenými Zastupitelstvem Ústeckého kraje, popřípadě přímo napomáhá splnění v nich stanovených cílů (zejména PRVKUK, Program rozvoje Ústeckého kraje).</w:t>
      </w:r>
    </w:p>
    <w:p w:rsidR="00331705" w:rsidRPr="00041C1A" w:rsidRDefault="00331705" w:rsidP="00331705">
      <w:pPr>
        <w:numPr>
          <w:ilvl w:val="0"/>
          <w:numId w:val="5"/>
        </w:numPr>
        <w:spacing w:before="120"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 případě, že předmětem žádosti bude výstavba nové kanalizace, musí být zajištěno napojení nejméně 50 ekvivalentních obyvatel.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Vodohospodářskou infrastrukturu podpořenou dotací z Fondu nelze převést po dobu odpisování na jiný subjekt, vyjma převedení na subjekt</w:t>
      </w:r>
      <w:r>
        <w:rPr>
          <w:rFonts w:ascii="Arial" w:hAnsi="Arial" w:cs="Arial"/>
          <w:sz w:val="22"/>
          <w:szCs w:val="22"/>
        </w:rPr>
        <w:t>,</w:t>
      </w:r>
      <w:r w:rsidRPr="00041C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kterém má příjemce dotace majetkovou účast ve výši </w:t>
      </w:r>
      <w:r w:rsidRPr="00041C1A">
        <w:rPr>
          <w:rFonts w:ascii="Arial" w:hAnsi="Arial" w:cs="Arial"/>
          <w:sz w:val="22"/>
          <w:szCs w:val="22"/>
        </w:rPr>
        <w:t>minimálně 51 %</w:t>
      </w:r>
      <w:r>
        <w:rPr>
          <w:rFonts w:ascii="Arial" w:hAnsi="Arial" w:cs="Arial"/>
          <w:sz w:val="22"/>
          <w:szCs w:val="22"/>
        </w:rPr>
        <w:t>.</w:t>
      </w:r>
    </w:p>
    <w:p w:rsidR="00331705" w:rsidRPr="00041C1A" w:rsidRDefault="00331705" w:rsidP="00331705">
      <w:pPr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 případě, že bude výstavba řešena etapovitě, musí být předchozí etapa stavebně ukončena, což žadatel doloží zápisem o předání a převzetí stavby sepsaným mezi investorem a dodavatelem stavby. Etapou stavby se rozumí taková část stavby, která je po dokončení schopná samostatného provozu.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Dotace bude poskytnuta na základě písemné smlouvy dle vzoru uvedeného v příloze č. 5 ZFVH.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Dotaci lze použít jen na účel uvedený ve smlouvě při dodržení ve smlouvě uvedených závazných ukazatelů.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Dotace není převoditelná na jiný právní subjekt. Příjemce je povinen přijatou dotaci použít na financování projektu schváleného poskytovatelem, který realizuje vlastním jménem, na vlastní účet a na vlastní odpovědnost.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Je-li příjemce plátcem DPH s nárokem na uplatnění odpočtu této daně, bude dotace poskytnuta na plnění bez DPH.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Příjemce odpovídá za hospodárné použití dotačních prostředků v souladu se schváleným rozpočtem projektu a za jejich řádné a oddělené sledování v účetnictví jak z hlediska poskytnuté výše dotace, tak z hlediska výdajů celého projektu.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Dotace budou příjemci poskytnuty formou bezhotovostního převodu na jeho bankovní účet, způsobem stanoveným ve smlouvě (jednorázově nebo ve splátkách).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Konkrétní termín ukončení realizace projektu bude uveden ve smlouvě a stanoví se pro příjemce jako závazný ukazatel.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 případě, že se projekt neuskuteční, je příjemce povinen obdržené finanční prostředky neprodleně vrátit na účet poskytovatele, z něhož byla dotace na realizaci projektu poskytnuta, a to nejpozději do 14 kalendářních dnů ode dne, kdy se o této skutečnosti dozvěděl. Současně je povinen předat odboru životního prostředí a zemědělství informaci o vrácení dotace.</w:t>
      </w:r>
    </w:p>
    <w:p w:rsidR="00331705" w:rsidRPr="00041C1A" w:rsidRDefault="00331705" w:rsidP="00331705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O změnách mezi různými druhy výdajů při dodržení stanoveného podílu dotace na celkových uznatelných výdajích projektu a při splnění základního účelu projektu (čl. 3. odst. 1) a 3) ZFVH) rozhoduje na základě odůvodněné žádosti příjemce příslušný orgán kraje, který o poskytnutí finančních prostředků rozhodl. Na základě rozhodnutí orgánu kraje bude o změně uzavřen dodatek ke smlouvě o poskytnutí dotace.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Na poskytnutí dotace není právní nárok.</w:t>
      </w:r>
    </w:p>
    <w:p w:rsidR="00331705" w:rsidRPr="00041C1A" w:rsidRDefault="00331705" w:rsidP="00331705">
      <w:pPr>
        <w:pStyle w:val="Odstavecseseznamem"/>
        <w:widowControl w:val="0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lastRenderedPageBreak/>
        <w:t>Dotace nebude poskytnuta žadateli: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spacing w:before="60"/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vůči jehož majetku probíhá nebo v posledních 3 letech proběhlo </w:t>
      </w:r>
      <w:proofErr w:type="spellStart"/>
      <w:r w:rsidRPr="00041C1A">
        <w:rPr>
          <w:rFonts w:ascii="Arial" w:hAnsi="Arial" w:cs="Arial"/>
          <w:sz w:val="22"/>
          <w:szCs w:val="22"/>
        </w:rPr>
        <w:t>insolvenční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řízení, v němž bylo vydáno rozhodnutí o úpadku, nebo byl </w:t>
      </w:r>
      <w:proofErr w:type="spellStart"/>
      <w:r w:rsidRPr="00041C1A">
        <w:rPr>
          <w:rFonts w:ascii="Arial" w:hAnsi="Arial" w:cs="Arial"/>
          <w:sz w:val="22"/>
          <w:szCs w:val="22"/>
        </w:rPr>
        <w:t>insolvenční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návrh zamítnut proto, že majetek nepostačuje k úhradě nákladů </w:t>
      </w:r>
      <w:proofErr w:type="spellStart"/>
      <w:r w:rsidRPr="00041C1A">
        <w:rPr>
          <w:rFonts w:ascii="Arial" w:hAnsi="Arial" w:cs="Arial"/>
          <w:sz w:val="22"/>
          <w:szCs w:val="22"/>
        </w:rPr>
        <w:t>insolvenčního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řízení, nebo byl konkurs zrušen proto, že majetek byl zcela nepostačující nebo byla zavedena nucená správa podle zvláštních právních předpisů, nebo na jehož majetek byla nařízena exekuce;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spacing w:before="60" w:after="60"/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který má v evidenci daní zachyceny daňové nedoplatky;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který 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který má splatný nedoplatek na pojistném a na penále na veřejné zdravotní pojištění nebo na pojistném a na penále na sociální zabezpečení a příspěvku na státní politiku zaměstnanosti;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který má závazky po lhůtě splatnosti vůči rozpočtu kraje;</w:t>
      </w:r>
    </w:p>
    <w:p w:rsidR="00331705" w:rsidRPr="00041C1A" w:rsidRDefault="00331705" w:rsidP="00331705">
      <w:pPr>
        <w:pStyle w:val="Odstavecseseznamem"/>
        <w:numPr>
          <w:ilvl w:val="0"/>
          <w:numId w:val="24"/>
        </w:numPr>
        <w:spacing w:after="480"/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kterému byla poskytnuta v předchozích letech dotace </w:t>
      </w:r>
      <w:r>
        <w:rPr>
          <w:rFonts w:ascii="Arial" w:hAnsi="Arial" w:cs="Arial"/>
          <w:sz w:val="22"/>
          <w:szCs w:val="22"/>
        </w:rPr>
        <w:t xml:space="preserve">z Fondu </w:t>
      </w:r>
      <w:r w:rsidRPr="00041C1A">
        <w:rPr>
          <w:rFonts w:ascii="Arial" w:hAnsi="Arial" w:cs="Arial"/>
          <w:sz w:val="22"/>
          <w:szCs w:val="22"/>
        </w:rPr>
        <w:t>a nesplnil podmínky vymezené ZFVH a smlouvou.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4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 xml:space="preserve">Podpora de </w:t>
            </w:r>
            <w:proofErr w:type="spellStart"/>
            <w:r w:rsidRPr="001F406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</w:p>
        </w:tc>
      </w:tr>
    </w:tbl>
    <w:p w:rsidR="00331705" w:rsidRPr="002542CD" w:rsidRDefault="00331705" w:rsidP="00331705">
      <w:pPr>
        <w:pStyle w:val="Odstavecseseznamem"/>
        <w:numPr>
          <w:ilvl w:val="0"/>
          <w:numId w:val="27"/>
        </w:numPr>
        <w:shd w:val="clear" w:color="auto" w:fill="FFFFFF"/>
        <w:spacing w:before="120"/>
        <w:ind w:left="425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041C1A">
        <w:rPr>
          <w:rFonts w:ascii="Arial" w:hAnsi="Arial" w:cs="Arial"/>
          <w:color w:val="000000"/>
          <w:sz w:val="22"/>
          <w:szCs w:val="22"/>
        </w:rPr>
        <w:t>Podpora vodohospodářské infrastruktury dle čl. 2 odst. 3 písm. a)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1C1A">
        <w:rPr>
          <w:rFonts w:ascii="Arial" w:hAnsi="Arial" w:cs="Arial"/>
          <w:color w:val="000000"/>
          <w:sz w:val="22"/>
          <w:szCs w:val="22"/>
        </w:rPr>
        <w:t xml:space="preserve"> b) </w:t>
      </w:r>
      <w:r>
        <w:rPr>
          <w:rFonts w:ascii="Arial" w:hAnsi="Arial" w:cs="Arial"/>
          <w:color w:val="000000"/>
          <w:sz w:val="22"/>
          <w:szCs w:val="22"/>
        </w:rPr>
        <w:t xml:space="preserve">a c) </w:t>
      </w:r>
      <w:r w:rsidRPr="00041C1A">
        <w:rPr>
          <w:rFonts w:ascii="Arial" w:hAnsi="Arial" w:cs="Arial"/>
          <w:color w:val="000000"/>
          <w:sz w:val="22"/>
          <w:szCs w:val="22"/>
        </w:rPr>
        <w:t xml:space="preserve">ZVFH je poskytována v režimu podpory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) dle Nařízení Komise ES č. 1998/2006 ze dne 15. 12. 2006, o použití článků 87 a 88 Smlouvy na podporu 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Podpora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 </w:t>
      </w:r>
      <w:r w:rsidRPr="00CA0792">
        <w:rPr>
          <w:rFonts w:ascii="Arial" w:hAnsi="Arial" w:cs="Arial"/>
          <w:color w:val="000000"/>
          <w:sz w:val="23"/>
          <w:szCs w:val="23"/>
        </w:rPr>
        <w:t>nevztahuje na vodohospodářskou infrastrukturu specifikovanou v čl. 2 odst. 3 písm. c) ZFVH za předpokladu, že nebud</w:t>
      </w:r>
      <w:r>
        <w:rPr>
          <w:rFonts w:ascii="Arial" w:hAnsi="Arial" w:cs="Arial"/>
          <w:color w:val="000000"/>
          <w:sz w:val="23"/>
          <w:szCs w:val="23"/>
        </w:rPr>
        <w:t>e</w:t>
      </w:r>
      <w:r w:rsidRPr="00CA0792">
        <w:rPr>
          <w:rFonts w:ascii="Arial" w:hAnsi="Arial" w:cs="Arial"/>
          <w:color w:val="000000"/>
          <w:sz w:val="23"/>
          <w:szCs w:val="23"/>
        </w:rPr>
        <w:t xml:space="preserve"> ekonomicky využívá</w:t>
      </w:r>
      <w:r>
        <w:rPr>
          <w:rFonts w:ascii="Arial" w:hAnsi="Arial" w:cs="Arial"/>
          <w:color w:val="000000"/>
          <w:sz w:val="23"/>
          <w:szCs w:val="23"/>
        </w:rPr>
        <w:t>na</w:t>
      </w:r>
      <w:r w:rsidRPr="00CA0792">
        <w:rPr>
          <w:rFonts w:ascii="Arial" w:hAnsi="Arial" w:cs="Arial"/>
          <w:color w:val="000000"/>
          <w:sz w:val="23"/>
          <w:szCs w:val="23"/>
        </w:rPr>
        <w:t xml:space="preserve"> a bud</w:t>
      </w:r>
      <w:r>
        <w:rPr>
          <w:rFonts w:ascii="Arial" w:hAnsi="Arial" w:cs="Arial"/>
          <w:color w:val="000000"/>
          <w:sz w:val="23"/>
          <w:szCs w:val="23"/>
        </w:rPr>
        <w:t>e otevřena</w:t>
      </w:r>
      <w:r w:rsidRPr="00CA0792">
        <w:rPr>
          <w:rFonts w:ascii="Arial" w:hAnsi="Arial" w:cs="Arial"/>
          <w:color w:val="000000"/>
          <w:sz w:val="23"/>
          <w:szCs w:val="23"/>
        </w:rPr>
        <w:t xml:space="preserve"> všem uživatelům na nediskriminační bázi.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542CD">
        <w:rPr>
          <w:rFonts w:ascii="Arial" w:hAnsi="Arial" w:cs="Arial"/>
          <w:color w:val="000000"/>
          <w:sz w:val="22"/>
          <w:szCs w:val="22"/>
        </w:rPr>
        <w:t xml:space="preserve">Žadatel tuto skutečnost bere na vědomí. </w:t>
      </w:r>
    </w:p>
    <w:p w:rsidR="00331705" w:rsidRPr="00041C1A" w:rsidRDefault="00331705" w:rsidP="00331705">
      <w:pPr>
        <w:pStyle w:val="Odstavecseseznamem"/>
        <w:numPr>
          <w:ilvl w:val="0"/>
          <w:numId w:val="27"/>
        </w:numPr>
        <w:shd w:val="clear" w:color="auto" w:fill="FFFFFF"/>
        <w:spacing w:before="120"/>
        <w:ind w:left="425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041C1A">
        <w:rPr>
          <w:rFonts w:ascii="Arial" w:hAnsi="Arial" w:cs="Arial"/>
          <w:color w:val="000000"/>
          <w:sz w:val="22"/>
          <w:szCs w:val="22"/>
        </w:rPr>
        <w:t xml:space="preserve">Žadatel o podporu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) musí před podpisem smlouvy poskytovateli předložit čestné prohlášení o výši veškerých podpor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), které za poslední 3 roky (tzn. předchozí dva rozpočtové roky a daný rozpočtový rok) obdržel (podpora 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 za toto období nesmí přesáhnout částku 200 000 EUR, přičemž se sčítá veškerá poskytnutá podpora malého rozsahu, bez ohledu na odlišnost poskytovatelů). Vzor čestného prohlášení k podpoře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>) je přílohou č. 6 ZFVH.</w:t>
      </w:r>
    </w:p>
    <w:p w:rsidR="00331705" w:rsidRPr="0047120D" w:rsidRDefault="00331705" w:rsidP="00331705">
      <w:pPr>
        <w:pStyle w:val="Odstavecseseznamem"/>
        <w:numPr>
          <w:ilvl w:val="0"/>
          <w:numId w:val="27"/>
        </w:numPr>
        <w:shd w:val="clear" w:color="auto" w:fill="FFFFFF"/>
        <w:spacing w:before="120"/>
        <w:ind w:left="425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041C1A">
        <w:rPr>
          <w:rFonts w:ascii="Arial" w:hAnsi="Arial" w:cs="Arial"/>
          <w:color w:val="000000"/>
          <w:sz w:val="22"/>
          <w:szCs w:val="22"/>
        </w:rPr>
        <w:t xml:space="preserve">Žadateli o podporu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 xml:space="preserve">) ve smyslu Nařízení Komise ES č.1998/2006 lze poskytnout dotaci pouze, pokud výše veškerých podpor malého rozsahu (de </w:t>
      </w:r>
      <w:proofErr w:type="spellStart"/>
      <w:r w:rsidRPr="00041C1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color w:val="000000"/>
          <w:sz w:val="22"/>
          <w:szCs w:val="22"/>
        </w:rPr>
        <w:t>), které za uplynulé 3 roky obdržel, nepřesáhne částku 200 000 EUR.</w:t>
      </w:r>
    </w:p>
    <w:p w:rsidR="00331705" w:rsidRPr="00DC165F" w:rsidRDefault="00331705" w:rsidP="00331705">
      <w:pPr>
        <w:pStyle w:val="Odstavecseseznamem"/>
        <w:numPr>
          <w:ilvl w:val="0"/>
          <w:numId w:val="27"/>
        </w:numPr>
        <w:shd w:val="clear" w:color="auto" w:fill="FFFFFF"/>
        <w:spacing w:before="120" w:after="480"/>
        <w:ind w:left="425" w:hanging="425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2"/>
          <w:szCs w:val="22"/>
        </w:rPr>
        <w:t>Veřejnou podporu výstavba v</w:t>
      </w:r>
      <w:r w:rsidRPr="0047120D">
        <w:rPr>
          <w:rFonts w:ascii="Arial" w:hAnsi="Arial" w:cs="Arial"/>
          <w:color w:val="000000"/>
          <w:sz w:val="22"/>
          <w:szCs w:val="22"/>
        </w:rPr>
        <w:t>odohospodářsk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47120D">
        <w:rPr>
          <w:rFonts w:ascii="Arial" w:hAnsi="Arial" w:cs="Arial"/>
          <w:color w:val="000000"/>
          <w:sz w:val="22"/>
          <w:szCs w:val="22"/>
        </w:rPr>
        <w:t xml:space="preserve"> infrastruktur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47120D">
        <w:rPr>
          <w:rFonts w:ascii="Arial" w:hAnsi="Arial" w:cs="Arial"/>
          <w:color w:val="000000"/>
          <w:sz w:val="22"/>
          <w:szCs w:val="22"/>
        </w:rPr>
        <w:t xml:space="preserve"> specifikovan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47120D">
        <w:rPr>
          <w:rFonts w:ascii="Arial" w:hAnsi="Arial" w:cs="Arial"/>
          <w:color w:val="000000"/>
          <w:sz w:val="22"/>
          <w:szCs w:val="22"/>
        </w:rPr>
        <w:t xml:space="preserve"> v čl. 2 odst. 3 písm. c) ZFVH</w:t>
      </w:r>
      <w:r>
        <w:rPr>
          <w:rFonts w:ascii="Arial" w:hAnsi="Arial" w:cs="Arial"/>
          <w:color w:val="000000"/>
          <w:sz w:val="22"/>
          <w:szCs w:val="22"/>
        </w:rPr>
        <w:t xml:space="preserve"> zpravidla nezakládá. Tato skutečnost bude objektivně posouzena poskytovatelem.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331705">
        <w:tc>
          <w:tcPr>
            <w:tcW w:w="9286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5</w:t>
            </w:r>
          </w:p>
        </w:tc>
      </w:tr>
      <w:tr w:rsidR="00331705" w:rsidRPr="00041C1A" w:rsidTr="00331705">
        <w:tc>
          <w:tcPr>
            <w:tcW w:w="9286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Stanovení konzultačního místa</w:t>
            </w:r>
          </w:p>
        </w:tc>
      </w:tr>
    </w:tbl>
    <w:p w:rsidR="00331705" w:rsidRPr="00041C1A" w:rsidRDefault="00331705" w:rsidP="00331705">
      <w:pPr>
        <w:widowControl w:val="0"/>
        <w:numPr>
          <w:ilvl w:val="4"/>
          <w:numId w:val="4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Doručovací adresa:</w:t>
      </w:r>
    </w:p>
    <w:p w:rsidR="00331705" w:rsidRPr="00041C1A" w:rsidRDefault="00331705" w:rsidP="00331705">
      <w:pPr>
        <w:ind w:left="709"/>
        <w:jc w:val="both"/>
        <w:outlineLvl w:val="1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Krajský úřad Ústeckého kraje, odbor životního prostředí a zemědělství, Velká Hradební 3118/48, 400 02 Ústí nad Labem.</w:t>
      </w:r>
    </w:p>
    <w:p w:rsidR="00331705" w:rsidRPr="00041C1A" w:rsidRDefault="00331705" w:rsidP="00331705">
      <w:pPr>
        <w:widowControl w:val="0"/>
        <w:numPr>
          <w:ilvl w:val="4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lastRenderedPageBreak/>
        <w:t>Datová schránka: t9zbsva</w:t>
      </w:r>
    </w:p>
    <w:p w:rsidR="00331705" w:rsidRPr="00041C1A" w:rsidRDefault="00331705" w:rsidP="00331705">
      <w:pPr>
        <w:widowControl w:val="0"/>
        <w:numPr>
          <w:ilvl w:val="4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Pro osobní konzultace:</w:t>
      </w:r>
    </w:p>
    <w:p w:rsidR="00331705" w:rsidRDefault="00331705" w:rsidP="00331705">
      <w:pPr>
        <w:spacing w:after="480"/>
        <w:ind w:left="709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Krajský úřad Ústeckého kraje, odbor životního prostředí a zemědělství, budova C, </w:t>
      </w:r>
      <w:proofErr w:type="spellStart"/>
      <w:r w:rsidRPr="00041C1A">
        <w:rPr>
          <w:rFonts w:ascii="Arial" w:hAnsi="Arial" w:cs="Arial"/>
          <w:sz w:val="22"/>
          <w:szCs w:val="22"/>
        </w:rPr>
        <w:t>Stroupežnického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ul. 1326/16, č. dveří 211, kontaktní osoba: příslušný referent ZPZ.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331705">
        <w:tc>
          <w:tcPr>
            <w:tcW w:w="9286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6</w:t>
            </w:r>
          </w:p>
        </w:tc>
      </w:tr>
      <w:tr w:rsidR="00331705" w:rsidRPr="00041C1A" w:rsidTr="00331705">
        <w:tc>
          <w:tcPr>
            <w:tcW w:w="9286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Předkládání žádostí o dotace</w:t>
            </w:r>
          </w:p>
        </w:tc>
      </w:tr>
    </w:tbl>
    <w:p w:rsidR="00331705" w:rsidRPr="00041C1A" w:rsidRDefault="00331705" w:rsidP="00331705">
      <w:pPr>
        <w:pStyle w:val="Odstavecseseznamem"/>
        <w:widowControl w:val="0"/>
        <w:numPr>
          <w:ilvl w:val="0"/>
          <w:numId w:val="7"/>
        </w:numPr>
        <w:spacing w:before="24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Žadatel doručuje úplnou žádost dle čl. 2 odst. 4) ZFVH na předepsaných formulářích osobně do podatelny Krajského úřadu Ústeckého kraje, dále poštou, datovou schránkou Ústeckého kraje, nebo e-mailem se zaručeným elektronickým podpisem do elektronické podatelny (email: </w:t>
      </w:r>
      <w:proofErr w:type="spellStart"/>
      <w:r w:rsidRPr="00041C1A">
        <w:rPr>
          <w:rFonts w:ascii="Arial" w:hAnsi="Arial" w:cs="Arial"/>
          <w:sz w:val="22"/>
          <w:szCs w:val="22"/>
        </w:rPr>
        <w:t>epodatelna</w:t>
      </w:r>
      <w:proofErr w:type="spellEnd"/>
      <w:r w:rsidRPr="00041C1A">
        <w:rPr>
          <w:rFonts w:ascii="Arial" w:hAnsi="Arial" w:cs="Arial"/>
          <w:sz w:val="22"/>
          <w:szCs w:val="22"/>
        </w:rPr>
        <w:t>@kr-ustecky.cz) v termínech uvedených dle čl. 3 odst. 5) ZFVH.</w:t>
      </w:r>
    </w:p>
    <w:p w:rsidR="00331705" w:rsidRPr="00041C1A" w:rsidRDefault="00331705" w:rsidP="00331705">
      <w:pPr>
        <w:pStyle w:val="Odstavecseseznamem"/>
        <w:numPr>
          <w:ilvl w:val="0"/>
          <w:numId w:val="7"/>
        </w:numPr>
        <w:spacing w:before="12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Je-li úplná žádost doručována poštou nebo osobně na podatelnu Krajského úřadu Ústeckého kraje, musí být v zalepené obálce označené:</w:t>
      </w:r>
    </w:p>
    <w:p w:rsidR="00331705" w:rsidRPr="00041C1A" w:rsidRDefault="00331705" w:rsidP="00331705">
      <w:pPr>
        <w:numPr>
          <w:ilvl w:val="1"/>
          <w:numId w:val="8"/>
        </w:numPr>
        <w:tabs>
          <w:tab w:val="clear" w:pos="1440"/>
          <w:tab w:val="num" w:pos="993"/>
        </w:tabs>
        <w:ind w:left="426" w:firstLine="141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Textem „FVH - NEOTVÍRAT“;</w:t>
      </w:r>
    </w:p>
    <w:p w:rsidR="00331705" w:rsidRPr="00041C1A" w:rsidRDefault="00331705" w:rsidP="00331705">
      <w:pPr>
        <w:numPr>
          <w:ilvl w:val="1"/>
          <w:numId w:val="8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Úplným jménem (názvem) žadatele o dotaci a jeho adresou.</w:t>
      </w:r>
    </w:p>
    <w:p w:rsidR="00331705" w:rsidRPr="00041C1A" w:rsidRDefault="00331705" w:rsidP="00331705">
      <w:pPr>
        <w:pStyle w:val="Odstavecseseznamem"/>
        <w:numPr>
          <w:ilvl w:val="0"/>
          <w:numId w:val="7"/>
        </w:numPr>
        <w:spacing w:before="120" w:after="12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Je-li úplná žádost doručována do datové schránky Ústeckého kraje nebo e-mailem se zaručeným elektronickým podpisem do elektronické podatelny Ústeckého kraje musí být z označení datové zprávy nebo z emailu zřejmé, že je doručován Krajskému úřadu Ústeckého kraje, odboru životního prostředí a zemědělství a dále, že se jedná o žádost o dotaci z Fondu.</w:t>
      </w:r>
    </w:p>
    <w:p w:rsidR="00331705" w:rsidRPr="00041C1A" w:rsidRDefault="00331705" w:rsidP="00331705">
      <w:pPr>
        <w:pStyle w:val="Odstavecseseznamem"/>
        <w:spacing w:before="120" w:after="120"/>
        <w:ind w:left="425"/>
        <w:contextualSpacing/>
        <w:jc w:val="both"/>
        <w:rPr>
          <w:rFonts w:ascii="Arial" w:hAnsi="Arial" w:cs="Arial"/>
          <w:sz w:val="12"/>
          <w:szCs w:val="12"/>
        </w:rPr>
      </w:pPr>
    </w:p>
    <w:p w:rsidR="00331705" w:rsidRPr="00041C1A" w:rsidRDefault="00331705" w:rsidP="00331705">
      <w:pPr>
        <w:pStyle w:val="Odstavecseseznamem"/>
        <w:numPr>
          <w:ilvl w:val="0"/>
          <w:numId w:val="7"/>
        </w:numPr>
        <w:spacing w:before="120" w:after="24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Úplné žádosti zaslané jakýmkoli jiným způsobem než je uvedeno v  odst. 1) a 3) tohoto článku (např. faxem nebo e-mailem bez zaručeného elektronického podpisu) a žádosti obdržené po termínu uzávěrky pro přijímání žádostí, nebudou hodnoceny.</w:t>
      </w:r>
    </w:p>
    <w:p w:rsidR="00331705" w:rsidRPr="00041C1A" w:rsidRDefault="00331705" w:rsidP="00331705">
      <w:pPr>
        <w:pStyle w:val="Odstavecseseznamem"/>
        <w:rPr>
          <w:rFonts w:ascii="Arial" w:hAnsi="Arial" w:cs="Arial"/>
          <w:sz w:val="12"/>
          <w:szCs w:val="12"/>
        </w:rPr>
      </w:pPr>
    </w:p>
    <w:p w:rsidR="00331705" w:rsidRPr="00041C1A" w:rsidRDefault="00331705" w:rsidP="00331705">
      <w:pPr>
        <w:pStyle w:val="Odstavecseseznamem"/>
        <w:numPr>
          <w:ilvl w:val="0"/>
          <w:numId w:val="7"/>
        </w:numPr>
        <w:spacing w:before="240" w:after="48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Všechny došlé žádosti o dotaci a všechny jejich přílohy se archivují a žadatelům o dotaci se nevracejí.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7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Hodnocení žádostí o dotaci</w:t>
            </w:r>
          </w:p>
        </w:tc>
      </w:tr>
    </w:tbl>
    <w:p w:rsidR="00331705" w:rsidRPr="00041C1A" w:rsidRDefault="00331705" w:rsidP="00331705">
      <w:pPr>
        <w:pStyle w:val="Odstavecseseznamem"/>
        <w:widowControl w:val="0"/>
        <w:numPr>
          <w:ilvl w:val="2"/>
          <w:numId w:val="6"/>
        </w:numPr>
        <w:spacing w:before="24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Všechny žádosti řádně došlé dle čl. 6 odst. 1) ZFVH podléhají před projednáním v orgánech kraje následujícímu procesu formálního a kriteriálního hodnocení, které provede odbor ZPZ v následujícím rozsahu:</w:t>
      </w:r>
    </w:p>
    <w:p w:rsidR="00331705" w:rsidRPr="00041C1A" w:rsidRDefault="00331705" w:rsidP="00331705">
      <w:pPr>
        <w:pStyle w:val="Odstavecseseznamem"/>
        <w:numPr>
          <w:ilvl w:val="1"/>
          <w:numId w:val="5"/>
        </w:numPr>
        <w:tabs>
          <w:tab w:val="left" w:pos="709"/>
        </w:tabs>
        <w:spacing w:before="120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Kontrola formální správnosti žádostí dle čl. 2 odst. 4) ZFVH a předběžná věcná kontrola naplnění podmínek dle čl. 3 ZFVH, tj. zda žadatel, žádost a nedílné přílohy dle čl. 2 odst. 5) a předmět dotace vyhovují podmínkám ZFVH. V rámci předložení žádost</w:t>
      </w:r>
      <w:r>
        <w:rPr>
          <w:rFonts w:ascii="Arial" w:hAnsi="Arial" w:cs="Arial"/>
          <w:sz w:val="22"/>
          <w:szCs w:val="22"/>
        </w:rPr>
        <w:t>i</w:t>
      </w:r>
      <w:r w:rsidRPr="00041C1A">
        <w:rPr>
          <w:rFonts w:ascii="Arial" w:hAnsi="Arial" w:cs="Arial"/>
          <w:sz w:val="22"/>
          <w:szCs w:val="22"/>
        </w:rPr>
        <w:t xml:space="preserve"> o dotaci bude </w:t>
      </w:r>
      <w:r>
        <w:rPr>
          <w:rFonts w:ascii="Arial" w:hAnsi="Arial" w:cs="Arial"/>
          <w:sz w:val="22"/>
          <w:szCs w:val="22"/>
        </w:rPr>
        <w:t xml:space="preserve">u </w:t>
      </w:r>
      <w:r w:rsidRPr="00041C1A">
        <w:rPr>
          <w:rFonts w:ascii="Arial" w:hAnsi="Arial" w:cs="Arial"/>
          <w:sz w:val="22"/>
          <w:szCs w:val="22"/>
        </w:rPr>
        <w:t>plátce DPH prověřeno splnění povinnosti dle § 96 (veřejný účet plátce DPH) a § 106a (informace o spolehlivosti plátce DPH) zákona č. 235/2004 Sb., o dani z přidané hodnoty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041C1A">
        <w:rPr>
          <w:rFonts w:ascii="Arial" w:hAnsi="Arial" w:cs="Arial"/>
          <w:sz w:val="22"/>
          <w:szCs w:val="22"/>
        </w:rPr>
        <w:t xml:space="preserve">. V rámci kontroly formální správnosti bude rovněž provedena kontrola a vyhodnocení dosud příjemci poskytnutých podpor de </w:t>
      </w:r>
      <w:proofErr w:type="spellStart"/>
      <w:r w:rsidRPr="00041C1A">
        <w:rPr>
          <w:rFonts w:ascii="Arial" w:hAnsi="Arial" w:cs="Arial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v Centrálním registru podpor malého rozsahu.</w:t>
      </w:r>
    </w:p>
    <w:p w:rsidR="00331705" w:rsidRPr="00041C1A" w:rsidRDefault="00331705" w:rsidP="00331705">
      <w:pPr>
        <w:pStyle w:val="Odstavecseseznamem"/>
        <w:widowControl w:val="0"/>
        <w:ind w:left="709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 případě chybějících nedílných příloh, uvedení nesprávných údajů v žádosti a v případě projektů vykazujících v rozpočtu neuznatelné náklady či početní chyby vyzve odbor ZPZ žadatele k jejich opravě ve lhůtě do 10 kalendářních dnů od obdržení výzvy. Po doplnění budou žádosti opět hodnoceny. Současně bude odborem ZPZ provedeno věcné zhodnocení projektů z hlediska souladu s oblastí podpory dle čl. 3 ZFVH. Pokud žadatel ve stanovené lhůtě neodstraní zjištěné nedostatky nebo pokud bude zjištěn nesoulad s předmětem dotace, budou dotčené žádosti navrženy bez dalšího hodnocení k zamítnutí.</w:t>
      </w:r>
    </w:p>
    <w:p w:rsidR="00331705" w:rsidRPr="00041C1A" w:rsidRDefault="00331705" w:rsidP="00331705">
      <w:pPr>
        <w:pStyle w:val="Odstavecseseznamem"/>
        <w:numPr>
          <w:ilvl w:val="1"/>
          <w:numId w:val="5"/>
        </w:numPr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Kriteriální hodnocení projektů bude provedeno podle stanovených kritérií uvedených v příloze č. 9 ZFVH. Hodnoceným projektům bude přiřazen za každé kritérium bod </w:t>
      </w:r>
      <w:r w:rsidRPr="00041C1A">
        <w:rPr>
          <w:rFonts w:ascii="Arial" w:hAnsi="Arial" w:cs="Arial"/>
          <w:sz w:val="22"/>
          <w:szCs w:val="22"/>
        </w:rPr>
        <w:lastRenderedPageBreak/>
        <w:t xml:space="preserve">v hodnotě 0 nebo 1 (výjimečně 2 body). Následně bude stanoveno pořadí projektů od nejvyššího </w:t>
      </w:r>
      <w:r>
        <w:rPr>
          <w:rFonts w:ascii="Arial" w:hAnsi="Arial" w:cs="Arial"/>
          <w:sz w:val="22"/>
          <w:szCs w:val="22"/>
        </w:rPr>
        <w:t>dosaženého</w:t>
      </w:r>
      <w:r w:rsidRPr="00041C1A">
        <w:rPr>
          <w:rFonts w:ascii="Arial" w:hAnsi="Arial" w:cs="Arial"/>
          <w:sz w:val="22"/>
          <w:szCs w:val="22"/>
        </w:rPr>
        <w:t xml:space="preserve"> bodového hodnocení k nejnižšímu až do vyčerpání aktuálních disponibilních prostředků na účtu Fondu.</w:t>
      </w:r>
    </w:p>
    <w:p w:rsidR="00331705" w:rsidRPr="00041C1A" w:rsidRDefault="00331705" w:rsidP="00331705">
      <w:pPr>
        <w:pStyle w:val="Odstavecseseznamem"/>
        <w:numPr>
          <w:ilvl w:val="1"/>
          <w:numId w:val="5"/>
        </w:numPr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 případě shody počtu bodového hodnocení u více projektů, u kterých bude nutno vzhledem k  disponibilnímu zůstatku na účtu Fondu upřednostnit pouze některé projekty, bude přistoupeno k jejich hodnocení na základě dílčího kritéria, spočívajícího v časovém pořadí podání žádostí způsoby vymezenými dle čl. 6 odst. 1 ZFVH.</w:t>
      </w:r>
    </w:p>
    <w:p w:rsidR="00331705" w:rsidRPr="00041C1A" w:rsidRDefault="00331705" w:rsidP="00331705">
      <w:pPr>
        <w:pStyle w:val="Odstavecseseznamem"/>
        <w:widowControl w:val="0"/>
        <w:numPr>
          <w:ilvl w:val="1"/>
          <w:numId w:val="5"/>
        </w:numPr>
        <w:spacing w:after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Zpracování výsledků hodnocení bude zaznamenáno do hodnotící tabulky, ve které bude uveden seznam projektů jednotlivých žadatelů navržených k poskytnutí dotace v členění: identifikační údaje žadatele, název projektu, doporučená výše dotace a konkrétní procentuální podíl dotace na celkových uznatelných nákladech vyjádřený v %, výše dosažených bodů a stručné anotace jednotlivých projektů. Součástí tabulky bude seznam žadatelů navržených k zamítnutí jejich žádostí</w:t>
      </w:r>
      <w:r w:rsidRPr="00041C1A" w:rsidDel="00A17BF0">
        <w:rPr>
          <w:rFonts w:ascii="Arial" w:hAnsi="Arial" w:cs="Arial"/>
          <w:sz w:val="22"/>
          <w:szCs w:val="22"/>
        </w:rPr>
        <w:t xml:space="preserve"> </w:t>
      </w:r>
      <w:r w:rsidRPr="00041C1A">
        <w:rPr>
          <w:rFonts w:ascii="Arial" w:hAnsi="Arial" w:cs="Arial"/>
          <w:sz w:val="22"/>
          <w:szCs w:val="22"/>
        </w:rPr>
        <w:t>dle odst. 1 bodu a) tohoto článku a dále dle čl. 6 odst. 4) ZFVH.</w:t>
      </w:r>
    </w:p>
    <w:p w:rsidR="00331705" w:rsidRPr="00041C1A" w:rsidRDefault="00331705" w:rsidP="00331705">
      <w:pPr>
        <w:pStyle w:val="Odstavecseseznamem"/>
        <w:numPr>
          <w:ilvl w:val="0"/>
          <w:numId w:val="11"/>
        </w:numPr>
        <w:tabs>
          <w:tab w:val="left" w:pos="426"/>
        </w:tabs>
        <w:spacing w:before="12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Postup projednání žádostí v orgánech kraje</w:t>
      </w:r>
    </w:p>
    <w:p w:rsidR="00331705" w:rsidRPr="00041C1A" w:rsidRDefault="00331705" w:rsidP="00331705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Vyhodnocení došlých žádostí zpracovaných do hodnotící tabulky dle čl. 7 odst. 1) písm. d) ZFVH podle formálního a kriteriálního bodového hodnocení je podkladem pro projednání žádostí o poskytnutí dotace v Komisi Rady Ústeckého kraje pro oblast životního prostředí, Radě Ústeckého kraje </w:t>
      </w:r>
      <w:r>
        <w:rPr>
          <w:rFonts w:ascii="Arial" w:hAnsi="Arial" w:cs="Arial"/>
          <w:sz w:val="22"/>
          <w:szCs w:val="22"/>
        </w:rPr>
        <w:t xml:space="preserve">popřípadě </w:t>
      </w:r>
      <w:r w:rsidRPr="00041C1A">
        <w:rPr>
          <w:rFonts w:ascii="Arial" w:hAnsi="Arial" w:cs="Arial"/>
          <w:sz w:val="22"/>
          <w:szCs w:val="22"/>
        </w:rPr>
        <w:t>Zastupitelstvu Ústeckého kraje.</w:t>
      </w:r>
    </w:p>
    <w:p w:rsidR="00331705" w:rsidRPr="00041C1A" w:rsidRDefault="00331705" w:rsidP="00331705">
      <w:pPr>
        <w:pStyle w:val="Odstavecseseznamem"/>
        <w:numPr>
          <w:ilvl w:val="0"/>
          <w:numId w:val="11"/>
        </w:numPr>
        <w:tabs>
          <w:tab w:val="left" w:pos="0"/>
          <w:tab w:val="left" w:pos="426"/>
        </w:tabs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Žadatelé budou následně informováni o rozhodnutí </w:t>
      </w:r>
      <w:r>
        <w:rPr>
          <w:rFonts w:ascii="Arial" w:hAnsi="Arial" w:cs="Arial"/>
          <w:sz w:val="22"/>
          <w:szCs w:val="22"/>
        </w:rPr>
        <w:t xml:space="preserve">Rady Ústeckého kraje nebo </w:t>
      </w:r>
      <w:r w:rsidRPr="00041C1A">
        <w:rPr>
          <w:rFonts w:ascii="Arial" w:hAnsi="Arial" w:cs="Arial"/>
          <w:sz w:val="22"/>
          <w:szCs w:val="22"/>
        </w:rPr>
        <w:t>Zastupitelstva Ústeckého kraje ve věci poskytnutí / neposkytnutí dotace v termínu vymezeném v čl. 3 odst. 5) ZFVH na webových stránkách Ústeckého kraje v přehledových tabulkách.</w:t>
      </w:r>
    </w:p>
    <w:p w:rsidR="00331705" w:rsidRPr="00041C1A" w:rsidRDefault="00331705" w:rsidP="00331705">
      <w:pPr>
        <w:pStyle w:val="Odstavecseseznamem"/>
        <w:numPr>
          <w:ilvl w:val="0"/>
          <w:numId w:val="11"/>
        </w:numPr>
        <w:tabs>
          <w:tab w:val="left" w:pos="0"/>
          <w:tab w:val="left" w:pos="426"/>
        </w:tabs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Rozhodnutí </w:t>
      </w:r>
      <w:r>
        <w:rPr>
          <w:rFonts w:ascii="Arial" w:hAnsi="Arial" w:cs="Arial"/>
          <w:sz w:val="22"/>
          <w:szCs w:val="22"/>
        </w:rPr>
        <w:t xml:space="preserve">Rady Ústeckého kraje nebo </w:t>
      </w:r>
      <w:r w:rsidRPr="00041C1A">
        <w:rPr>
          <w:rFonts w:ascii="Arial" w:hAnsi="Arial" w:cs="Arial"/>
          <w:sz w:val="22"/>
          <w:szCs w:val="22"/>
        </w:rPr>
        <w:t>Zastupitelstva Ústeckého kraje je konečné.</w:t>
      </w:r>
    </w:p>
    <w:p w:rsidR="00331705" w:rsidRPr="00041C1A" w:rsidRDefault="00331705" w:rsidP="00331705">
      <w:pPr>
        <w:pStyle w:val="Odstavecseseznamem"/>
        <w:numPr>
          <w:ilvl w:val="0"/>
          <w:numId w:val="11"/>
        </w:numPr>
        <w:tabs>
          <w:tab w:val="left" w:pos="0"/>
          <w:tab w:val="left" w:pos="426"/>
        </w:tabs>
        <w:spacing w:before="120" w:after="4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Kritéria hodnocení pro poskytování finančních prostředků z Fondu uvedená v příloze č. 9 ZFVH mohou být aktualizována na základě</w:t>
      </w:r>
      <w:r>
        <w:rPr>
          <w:rFonts w:ascii="Arial" w:hAnsi="Arial" w:cs="Arial"/>
          <w:sz w:val="22"/>
          <w:szCs w:val="22"/>
        </w:rPr>
        <w:t xml:space="preserve"> změny ZFVH</w:t>
      </w:r>
      <w:r w:rsidRPr="00041C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schválené</w:t>
      </w:r>
      <w:r w:rsidRPr="00041C1A">
        <w:rPr>
          <w:rFonts w:ascii="Arial" w:hAnsi="Arial" w:cs="Arial"/>
          <w:sz w:val="22"/>
          <w:szCs w:val="22"/>
        </w:rPr>
        <w:t xml:space="preserve"> Zastupitelstvem Ústeckého kraje. Aktualizovaná kritéria budou následně zveřejněna na webových stránkách Ústeckého kraje.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8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Smlouva o poskytnutí dotace</w:t>
            </w:r>
          </w:p>
        </w:tc>
      </w:tr>
    </w:tbl>
    <w:p w:rsidR="00331705" w:rsidRPr="00041C1A" w:rsidRDefault="00331705" w:rsidP="00331705">
      <w:pPr>
        <w:widowControl w:val="0"/>
        <w:tabs>
          <w:tab w:val="left" w:pos="426"/>
        </w:tabs>
        <w:spacing w:before="240" w:after="4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color w:val="000000"/>
          <w:sz w:val="22"/>
          <w:szCs w:val="22"/>
        </w:rPr>
        <w:t>1)</w:t>
      </w:r>
      <w:r w:rsidRPr="00041C1A">
        <w:rPr>
          <w:rFonts w:ascii="Arial" w:hAnsi="Arial" w:cs="Arial"/>
          <w:color w:val="000000"/>
          <w:sz w:val="22"/>
          <w:szCs w:val="22"/>
        </w:rPr>
        <w:tab/>
        <w:t>Smlouva o poskytnutí dotace se uzavírá v souladu s ustanovením § 159 odst. 1 zákona č. 500/2004 Sb., správní řád, ve znění pozdějších předpisů, jako smlouva veřejnoprávní</w:t>
      </w:r>
      <w:r w:rsidRPr="00041C1A">
        <w:rPr>
          <w:rFonts w:ascii="Arial" w:hAnsi="Arial" w:cs="Arial"/>
          <w:color w:val="1F497D"/>
          <w:sz w:val="22"/>
          <w:szCs w:val="22"/>
        </w:rPr>
        <w:t xml:space="preserve"> </w:t>
      </w:r>
      <w:r w:rsidRPr="00041C1A">
        <w:rPr>
          <w:rFonts w:ascii="Arial" w:hAnsi="Arial" w:cs="Arial"/>
          <w:sz w:val="22"/>
          <w:szCs w:val="22"/>
        </w:rPr>
        <w:t>(příloha č. 5 ZFVH).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9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Kontrola využití dotace</w:t>
            </w:r>
          </w:p>
        </w:tc>
      </w:tr>
    </w:tbl>
    <w:p w:rsidR="00331705" w:rsidRPr="00041C1A" w:rsidRDefault="00331705" w:rsidP="00331705">
      <w:pPr>
        <w:widowControl w:val="0"/>
        <w:numPr>
          <w:ilvl w:val="0"/>
          <w:numId w:val="9"/>
        </w:numPr>
        <w:tabs>
          <w:tab w:val="left" w:pos="426"/>
        </w:tabs>
        <w:spacing w:before="240" w:after="4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Na poskytování a čerpání dotací z Fondu se vztahuje kontrola dle zákona č. 320/2001 Sb., o finanční kontrole ve veřejné správě a o změně některých zákonů (zákon o finanční kontrole), ve znění pozdějších předpisů.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10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Závěrečná zpráva s vyúčtováním</w:t>
            </w:r>
          </w:p>
        </w:tc>
      </w:tr>
    </w:tbl>
    <w:p w:rsidR="00331705" w:rsidRPr="00041C1A" w:rsidRDefault="00331705" w:rsidP="00331705">
      <w:pPr>
        <w:widowControl w:val="0"/>
        <w:numPr>
          <w:ilvl w:val="0"/>
          <w:numId w:val="12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Závěrečnou zprávu</w:t>
      </w:r>
      <w:r>
        <w:rPr>
          <w:rFonts w:ascii="Arial" w:hAnsi="Arial" w:cs="Arial"/>
          <w:sz w:val="22"/>
          <w:szCs w:val="22"/>
        </w:rPr>
        <w:t xml:space="preserve"> s vyúčtováním</w:t>
      </w:r>
      <w:r w:rsidRPr="00041C1A">
        <w:rPr>
          <w:rFonts w:ascii="Arial" w:hAnsi="Arial" w:cs="Arial"/>
          <w:sz w:val="22"/>
          <w:szCs w:val="22"/>
        </w:rPr>
        <w:t xml:space="preserve"> je příjemce povinen předložit do 30 dnů po ukončení realizace projektu. Pokud byl projekt realizován před uzavřením smlouvy o poskytnutí dotace, předloží příjemce vyúčtování do 30 dnů od jejího uzavření. V rámci závěrečné zprávy je příjemce povinen předložit i závěrečné vyúčtování čerpání dotace na předepsaných formulářích (příloha č. 7 ZFVH).</w:t>
      </w:r>
    </w:p>
    <w:p w:rsidR="00331705" w:rsidRPr="00041C1A" w:rsidRDefault="00331705" w:rsidP="00331705">
      <w:pPr>
        <w:numPr>
          <w:ilvl w:val="0"/>
          <w:numId w:val="12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lastRenderedPageBreak/>
        <w:t>Nevyčerpané finanční prostředky z dotace příjemce poukáže zpět na účet kraje, ze kterého mu byly prostředky poskytnuty,</w:t>
      </w:r>
      <w:r w:rsidRPr="00041C1A">
        <w:rPr>
          <w:rFonts w:ascii="Arial" w:hAnsi="Arial" w:cs="Arial"/>
          <w:color w:val="3366FF"/>
          <w:sz w:val="22"/>
          <w:szCs w:val="22"/>
        </w:rPr>
        <w:t xml:space="preserve"> </w:t>
      </w:r>
      <w:r w:rsidRPr="00041C1A">
        <w:rPr>
          <w:rFonts w:ascii="Arial" w:hAnsi="Arial" w:cs="Arial"/>
          <w:sz w:val="22"/>
          <w:szCs w:val="22"/>
        </w:rPr>
        <w:t>a to současně s předložením závěrečné zprávy</w:t>
      </w:r>
      <w:r>
        <w:rPr>
          <w:rFonts w:ascii="Arial" w:hAnsi="Arial" w:cs="Arial"/>
          <w:sz w:val="22"/>
          <w:szCs w:val="22"/>
        </w:rPr>
        <w:t xml:space="preserve"> s vyúčtováním</w:t>
      </w:r>
      <w:r w:rsidRPr="00041C1A">
        <w:rPr>
          <w:rFonts w:ascii="Arial" w:hAnsi="Arial" w:cs="Arial"/>
          <w:sz w:val="22"/>
          <w:szCs w:val="22"/>
        </w:rPr>
        <w:t>.</w:t>
      </w:r>
    </w:p>
    <w:p w:rsidR="00331705" w:rsidRPr="00041C1A" w:rsidRDefault="00331705" w:rsidP="00331705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Pokud příjemce nepředloží ve stanoveném termínu závěrečnou zprávu </w:t>
      </w:r>
      <w:r>
        <w:rPr>
          <w:rFonts w:ascii="Arial" w:hAnsi="Arial" w:cs="Arial"/>
          <w:sz w:val="22"/>
          <w:szCs w:val="22"/>
        </w:rPr>
        <w:t>s</w:t>
      </w:r>
      <w:r w:rsidRPr="00041C1A">
        <w:rPr>
          <w:rFonts w:ascii="Arial" w:hAnsi="Arial" w:cs="Arial"/>
          <w:sz w:val="22"/>
          <w:szCs w:val="22"/>
        </w:rPr>
        <w:t xml:space="preserve"> vyúčtování</w:t>
      </w:r>
      <w:r>
        <w:rPr>
          <w:rFonts w:ascii="Arial" w:hAnsi="Arial" w:cs="Arial"/>
          <w:sz w:val="22"/>
          <w:szCs w:val="22"/>
        </w:rPr>
        <w:t>m</w:t>
      </w:r>
      <w:r w:rsidRPr="00041C1A">
        <w:rPr>
          <w:rFonts w:ascii="Arial" w:hAnsi="Arial" w:cs="Arial"/>
          <w:sz w:val="22"/>
          <w:szCs w:val="22"/>
        </w:rPr>
        <w:t xml:space="preserve"> poskytnuté dotace dle vzoru uvedeného v příloze č. </w:t>
      </w:r>
      <w:r>
        <w:rPr>
          <w:rFonts w:ascii="Arial" w:hAnsi="Arial" w:cs="Arial"/>
          <w:sz w:val="22"/>
          <w:szCs w:val="22"/>
        </w:rPr>
        <w:t>7</w:t>
      </w:r>
      <w:r w:rsidRPr="00041C1A">
        <w:rPr>
          <w:rFonts w:ascii="Arial" w:hAnsi="Arial" w:cs="Arial"/>
          <w:sz w:val="22"/>
          <w:szCs w:val="22"/>
        </w:rPr>
        <w:t xml:space="preserve"> ZFVH, ale doručí odůvodněnou žádost o prodloužení termínu, posoudí odbor ZPZ důvody a může rozhodnout o prodloužení termínu pro předložení, maximálně však o 10 dnů. Jestliže příjemce ve stanoveném náhradním termínu nepředloží závěrečnou zprávu</w:t>
      </w:r>
      <w:r>
        <w:rPr>
          <w:rFonts w:ascii="Arial" w:hAnsi="Arial" w:cs="Arial"/>
          <w:sz w:val="22"/>
          <w:szCs w:val="22"/>
        </w:rPr>
        <w:t xml:space="preserve"> s vyúčtováním</w:t>
      </w:r>
      <w:r w:rsidRPr="00041C1A">
        <w:rPr>
          <w:rFonts w:ascii="Arial" w:hAnsi="Arial" w:cs="Arial"/>
          <w:sz w:val="22"/>
          <w:szCs w:val="22"/>
        </w:rPr>
        <w:t xml:space="preserve"> poskytnuté dotace nebo nevrátí nevyčerpané prostředky, jedná se o porušení smlouvy o poskytnutí dotace a příjemce má povinnost vrátit poskytnutou dotaci v plné výši.</w:t>
      </w:r>
    </w:p>
    <w:p w:rsidR="00331705" w:rsidRPr="00041C1A" w:rsidRDefault="00331705" w:rsidP="00331705">
      <w:pPr>
        <w:numPr>
          <w:ilvl w:val="0"/>
          <w:numId w:val="12"/>
        </w:numPr>
        <w:spacing w:before="120" w:after="4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 případě překročení procentuálního podílu dotace na celkových uznatelných výdajích projektu, stanoveného jako závazný finanční ukazatel, musí být prostředky, o které byl dohodnutý podíl dotace překročen, vráceny. Tyto prostředky jejich příjemce poukáže zpět na účet kraje, z něhož mu byly poskytnuty, a to současně s předložením závěrečné zprávy</w:t>
      </w:r>
      <w:r>
        <w:rPr>
          <w:rFonts w:ascii="Arial" w:hAnsi="Arial" w:cs="Arial"/>
          <w:sz w:val="22"/>
          <w:szCs w:val="22"/>
        </w:rPr>
        <w:t xml:space="preserve"> s vyúčtováním</w:t>
      </w:r>
      <w:r w:rsidRPr="00041C1A">
        <w:rPr>
          <w:rFonts w:ascii="Arial" w:hAnsi="Arial" w:cs="Arial"/>
          <w:sz w:val="22"/>
          <w:szCs w:val="22"/>
        </w:rPr>
        <w:t>.</w:t>
      </w:r>
    </w:p>
    <w:p w:rsidR="00331705" w:rsidRPr="00041C1A" w:rsidRDefault="00331705" w:rsidP="00331705">
      <w:pPr>
        <w:spacing w:before="840"/>
        <w:ind w:left="425"/>
        <w:jc w:val="center"/>
        <w:rPr>
          <w:rFonts w:ascii="Arial" w:hAnsi="Arial" w:cs="Arial"/>
          <w:b/>
          <w:bCs/>
        </w:rPr>
      </w:pPr>
      <w:r w:rsidRPr="00041C1A">
        <w:rPr>
          <w:rFonts w:ascii="Arial" w:hAnsi="Arial" w:cs="Arial"/>
          <w:b/>
          <w:bCs/>
        </w:rPr>
        <w:t>ČÁST C</w:t>
      </w:r>
    </w:p>
    <w:p w:rsidR="00331705" w:rsidRPr="00041C1A" w:rsidRDefault="00331705" w:rsidP="00331705">
      <w:pPr>
        <w:pStyle w:val="Zkladntext"/>
        <w:widowControl/>
        <w:rPr>
          <w:rFonts w:ascii="Arial" w:hAnsi="Arial" w:cs="Arial"/>
          <w:bCs/>
          <w:szCs w:val="24"/>
        </w:rPr>
      </w:pPr>
      <w:r w:rsidRPr="00041C1A">
        <w:rPr>
          <w:rFonts w:ascii="Arial" w:hAnsi="Arial" w:cs="Arial"/>
          <w:bCs/>
          <w:sz w:val="22"/>
          <w:szCs w:val="22"/>
        </w:rPr>
        <w:t>(k</w:t>
      </w:r>
      <w:r w:rsidRPr="00041C1A">
        <w:rPr>
          <w:rFonts w:ascii="Arial" w:hAnsi="Arial" w:cs="Arial"/>
          <w:bCs/>
          <w:szCs w:val="24"/>
        </w:rPr>
        <w:t xml:space="preserve"> čl. 1 odst. 2 písm. b) ZFVH)</w:t>
      </w:r>
    </w:p>
    <w:p w:rsidR="00331705" w:rsidRPr="00041C1A" w:rsidRDefault="00331705" w:rsidP="00331705">
      <w:pPr>
        <w:pStyle w:val="Zkladntext"/>
        <w:widowControl/>
        <w:spacing w:after="360"/>
        <w:rPr>
          <w:rFonts w:ascii="Arial" w:hAnsi="Arial" w:cs="Arial"/>
          <w:bCs/>
          <w:caps/>
          <w:szCs w:val="24"/>
        </w:rPr>
      </w:pPr>
      <w:r w:rsidRPr="00041C1A">
        <w:rPr>
          <w:rFonts w:ascii="Arial" w:hAnsi="Arial" w:cs="Arial"/>
          <w:bCs/>
          <w:caps/>
          <w:szCs w:val="24"/>
        </w:rPr>
        <w:t>Financování opatření dle § 42 odstavec 4 a 5 vodního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92D050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11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Způsob financování</w:t>
            </w:r>
          </w:p>
        </w:tc>
      </w:tr>
    </w:tbl>
    <w:p w:rsidR="00331705" w:rsidRPr="00041C1A" w:rsidRDefault="00331705" w:rsidP="00331705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Vodoprávní úřad, který zabezpečil provedení opatření k nápravě dle § 42 odstavec 4 vodního zákona, předloží vyúčtování provedeného opatření (příloha č. 8 ZFVH) včetně následujících příloh:</w:t>
      </w:r>
    </w:p>
    <w:p w:rsidR="00331705" w:rsidRPr="00041C1A" w:rsidRDefault="00331705" w:rsidP="00331705">
      <w:pPr>
        <w:pStyle w:val="Odstavecseseznamem"/>
        <w:numPr>
          <w:ilvl w:val="2"/>
          <w:numId w:val="25"/>
        </w:numPr>
        <w:tabs>
          <w:tab w:val="clear" w:pos="216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rozhodnutí, kterým bylo provedení opatření uloženo s vyznačením právní moci, nebo veřejnoprávní smlouvu o provedení opatření;</w:t>
      </w:r>
    </w:p>
    <w:p w:rsidR="00331705" w:rsidRPr="00041C1A" w:rsidRDefault="00331705" w:rsidP="00331705">
      <w:pPr>
        <w:numPr>
          <w:ilvl w:val="2"/>
          <w:numId w:val="25"/>
        </w:numPr>
        <w:tabs>
          <w:tab w:val="clear" w:pos="2160"/>
          <w:tab w:val="left" w:pos="709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podklady vztahující se k hodnocení závažnosti ohrožení nebo znečištění povrchových či </w:t>
      </w:r>
      <w:r>
        <w:rPr>
          <w:rFonts w:ascii="Arial" w:hAnsi="Arial" w:cs="Arial"/>
          <w:sz w:val="22"/>
          <w:szCs w:val="22"/>
        </w:rPr>
        <w:t>podzemních</w:t>
      </w:r>
      <w:r w:rsidRPr="00041C1A">
        <w:rPr>
          <w:rFonts w:ascii="Arial" w:hAnsi="Arial" w:cs="Arial"/>
          <w:sz w:val="22"/>
          <w:szCs w:val="22"/>
        </w:rPr>
        <w:t xml:space="preserve"> vod, které jsou vodoprávnímu úřadu k dispozici (rizikové analýzy, výsledky hydrogeologických průzkumů, protokoly z jednání a ohledání apod.);</w:t>
      </w:r>
    </w:p>
    <w:p w:rsidR="00331705" w:rsidRPr="00041C1A" w:rsidRDefault="00331705" w:rsidP="00331705">
      <w:pPr>
        <w:numPr>
          <w:ilvl w:val="2"/>
          <w:numId w:val="25"/>
        </w:numPr>
        <w:tabs>
          <w:tab w:val="clear" w:pos="2160"/>
          <w:tab w:val="left" w:pos="709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daňové doklady vystavené osobou provádějící nápravná opatření, včetně rozpisu provedených prací.</w:t>
      </w:r>
    </w:p>
    <w:p w:rsidR="00331705" w:rsidRPr="00041C1A" w:rsidRDefault="00331705" w:rsidP="00331705">
      <w:pPr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Odbor ZPZ posoudí, zda byly naplněny podmínky pro financování opatření z povinné rezervy dle § 42 vodního zákona, zejména, zda nebylo možno uložit opatření k nápravě původci závadného stavu a zda hrozilo závažné ohrožení nebo znečištění povrchových nebo podzemních vod.</w:t>
      </w:r>
    </w:p>
    <w:p w:rsidR="00331705" w:rsidRPr="00041C1A" w:rsidRDefault="00331705" w:rsidP="00331705">
      <w:pPr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041C1A">
        <w:rPr>
          <w:rFonts w:ascii="Arial" w:hAnsi="Arial" w:cs="Arial"/>
          <w:bCs/>
          <w:sz w:val="22"/>
          <w:szCs w:val="22"/>
        </w:rPr>
        <w:t xml:space="preserve">V případě naplnění </w:t>
      </w:r>
      <w:r w:rsidRPr="00041C1A">
        <w:rPr>
          <w:rFonts w:ascii="Arial" w:hAnsi="Arial" w:cs="Arial"/>
          <w:sz w:val="22"/>
          <w:szCs w:val="22"/>
        </w:rPr>
        <w:t xml:space="preserve">podmínek pro financování opatření z povinné rezervy dle § 42 odst. 4 vodního zákona odbor ZPZ uhradí do 60ti dnů od podání či doplnění žádosti </w:t>
      </w:r>
      <w:r>
        <w:rPr>
          <w:rFonts w:ascii="Arial" w:hAnsi="Arial" w:cs="Arial"/>
          <w:sz w:val="22"/>
          <w:szCs w:val="22"/>
        </w:rPr>
        <w:t>n</w:t>
      </w:r>
      <w:r w:rsidRPr="00651A03">
        <w:rPr>
          <w:rFonts w:ascii="Arial" w:hAnsi="Arial" w:cs="Arial"/>
          <w:sz w:val="22"/>
          <w:szCs w:val="22"/>
        </w:rPr>
        <w:t>áhrad</w:t>
      </w:r>
      <w:r>
        <w:rPr>
          <w:rFonts w:ascii="Arial" w:hAnsi="Arial" w:cs="Arial"/>
          <w:sz w:val="22"/>
          <w:szCs w:val="22"/>
        </w:rPr>
        <w:t>u</w:t>
      </w:r>
      <w:r w:rsidRPr="00651A03">
        <w:rPr>
          <w:rFonts w:ascii="Arial" w:hAnsi="Arial" w:cs="Arial"/>
          <w:sz w:val="22"/>
          <w:szCs w:val="22"/>
        </w:rPr>
        <w:t xml:space="preserve"> nákladů </w:t>
      </w:r>
      <w:r w:rsidRPr="00041C1A">
        <w:rPr>
          <w:rFonts w:ascii="Arial" w:hAnsi="Arial" w:cs="Arial"/>
          <w:sz w:val="22"/>
          <w:szCs w:val="22"/>
        </w:rPr>
        <w:t>opatření dle předloženého vyúčtování, a to do výše zůstatku povinné rezervy ke dni úhrady. V případě nesplnění těchto zákonných podmínek sdělí vodoprávnímu úřadu ve stejné lhůtě písemně důvody pro zamítnutí žádosti.</w:t>
      </w:r>
    </w:p>
    <w:p w:rsidR="00331705" w:rsidRPr="00041C1A" w:rsidRDefault="00331705" w:rsidP="00331705">
      <w:pPr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Příslušný orgán, který vynaložil </w:t>
      </w:r>
      <w:r w:rsidRPr="00651A03">
        <w:rPr>
          <w:rFonts w:ascii="Arial" w:hAnsi="Arial" w:cs="Arial"/>
          <w:sz w:val="22"/>
          <w:szCs w:val="22"/>
        </w:rPr>
        <w:t>náklad</w:t>
      </w:r>
      <w:r>
        <w:rPr>
          <w:rFonts w:ascii="Arial" w:hAnsi="Arial" w:cs="Arial"/>
          <w:sz w:val="22"/>
          <w:szCs w:val="22"/>
        </w:rPr>
        <w:t>y</w:t>
      </w:r>
      <w:r w:rsidRPr="00041C1A">
        <w:rPr>
          <w:rFonts w:ascii="Arial" w:hAnsi="Arial" w:cs="Arial"/>
          <w:sz w:val="22"/>
          <w:szCs w:val="22"/>
        </w:rPr>
        <w:t xml:space="preserve"> za zajištění nápravných opatření k nápravě ekologické újmy na povrchových nebo podzemních vodách dle zákona č. 167/2008 Sb., o předcházení ekologické újmě a její nápravě</w:t>
      </w:r>
      <w:r w:rsidRPr="001D567B">
        <w:t xml:space="preserve"> </w:t>
      </w:r>
      <w:r w:rsidRPr="001D567B">
        <w:rPr>
          <w:rFonts w:ascii="Arial" w:hAnsi="Arial" w:cs="Arial"/>
          <w:sz w:val="22"/>
          <w:szCs w:val="22"/>
        </w:rPr>
        <w:t>a o změně některých zákonů</w:t>
      </w:r>
      <w:r w:rsidRPr="00041C1A">
        <w:rPr>
          <w:rFonts w:ascii="Arial" w:hAnsi="Arial" w:cs="Arial"/>
          <w:sz w:val="22"/>
          <w:szCs w:val="22"/>
        </w:rPr>
        <w:t>, ve znění pozdějších předpisů (dále jen „zákon“), předloží vyúčtování provedeného opatření odboru ZPZ spolu s žádostí o úhradu, která obsahuje vyúčtování a vyhodnocení uloženého opatření (příloha č. 8 ZFVH), a dále následující přílohy:</w:t>
      </w:r>
    </w:p>
    <w:p w:rsidR="00331705" w:rsidRPr="00041C1A" w:rsidRDefault="00331705" w:rsidP="00331705">
      <w:pPr>
        <w:numPr>
          <w:ilvl w:val="2"/>
          <w:numId w:val="26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doklady o tom, že byly naplněny podmínky dle § 13 odst. 4 zákona pro financování opatření z povinné rezervy, tj. konkrétně doklad o výši úhrady provedené případně z majetku nebo finančního zajištění provozovatele, nebo prohlášení příslušného </w:t>
      </w:r>
      <w:r w:rsidRPr="00041C1A">
        <w:rPr>
          <w:rFonts w:ascii="Arial" w:hAnsi="Arial" w:cs="Arial"/>
          <w:sz w:val="22"/>
          <w:szCs w:val="22"/>
        </w:rPr>
        <w:lastRenderedPageBreak/>
        <w:t>orgánu o tom, že provozovatele nelze zjistit, nebo doklad o tom, že pohledávka za provozovatelem je nedobytná, nebo doklad o zániku či úmrtí provozovatele bez právního nástupce, nebo rozhodnutí příslušného orgánu vydané podle § 12 odst. 4 zákona, nebo doklad o tom, že ekologická újma nebo její bezprostřední hrozba byla způsobena třetí osobou i přesto, že byla přijata vhodná bezpečnostní opatření nebo že je důsledkem splnění rozhodnutí nebo jiného závazného aktu orgánu  veřejné správy a nejedná se o rozhodnutí nebo akty vydané k odstranění nebo zmírnění emisí nebo událostí způsobených provozní činností provozovatele;</w:t>
      </w:r>
    </w:p>
    <w:p w:rsidR="00331705" w:rsidRPr="00041C1A" w:rsidRDefault="00331705" w:rsidP="00331705">
      <w:pPr>
        <w:numPr>
          <w:ilvl w:val="2"/>
          <w:numId w:val="26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daňové doklady vystavené osobou provádějící nápravná opatření, včetně rozpisu provedených prací.</w:t>
      </w:r>
    </w:p>
    <w:p w:rsidR="00331705" w:rsidRPr="00041C1A" w:rsidRDefault="00331705" w:rsidP="00331705">
      <w:pPr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Odbor ZPZ posoudí, zda byly naplněny podmínky pro financování opatření z povinné rezervy dle zákona, zejména, zda provozovatel, který způsobil ekologickou újmu nebo její bezprostřední hrozbu nemohl být zjištěn, nebo zanikl, nebo zemřel bez právního nástupce, a další podmínky dle § </w:t>
      </w:r>
      <w:smartTag w:uri="urn:schemas-microsoft-com:office:smarttags" w:element="metricconverter">
        <w:smartTagPr>
          <w:attr w:name="ProductID" w:val="12 a"/>
        </w:smartTagPr>
        <w:r w:rsidRPr="00041C1A">
          <w:rPr>
            <w:rFonts w:ascii="Arial" w:hAnsi="Arial" w:cs="Arial"/>
            <w:sz w:val="22"/>
            <w:szCs w:val="22"/>
          </w:rPr>
          <w:t>12 a</w:t>
        </w:r>
      </w:smartTag>
      <w:r w:rsidRPr="00041C1A">
        <w:rPr>
          <w:rFonts w:ascii="Arial" w:hAnsi="Arial" w:cs="Arial"/>
          <w:sz w:val="22"/>
          <w:szCs w:val="22"/>
        </w:rPr>
        <w:t xml:space="preserve"> § 13 zákona.</w:t>
      </w:r>
    </w:p>
    <w:p w:rsidR="00331705" w:rsidRPr="008F3242" w:rsidRDefault="00331705" w:rsidP="0033170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48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8F3242">
        <w:rPr>
          <w:rFonts w:ascii="Arial" w:hAnsi="Arial" w:cs="Arial"/>
          <w:bCs/>
          <w:sz w:val="22"/>
          <w:szCs w:val="22"/>
        </w:rPr>
        <w:t xml:space="preserve">V případě naplnění </w:t>
      </w:r>
      <w:r w:rsidRPr="008F3242">
        <w:rPr>
          <w:rFonts w:ascii="Arial" w:hAnsi="Arial" w:cs="Arial"/>
          <w:sz w:val="22"/>
          <w:szCs w:val="22"/>
        </w:rPr>
        <w:t>podmínek pro financování opatření z povinné rezervy dle zákona odbor ZPZ uhradí náklady opatření dle předloženého vyúčtování bez zbytečného odkladu a to do výše zůstatku povinné rezervy ke dni úhrady. V případě nesplnění těchto zákonných podmínek sdělí odbor ZPZ ve stejné lhůtě písemně důvody pro zamítnutí žádosti.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331705" w:rsidRPr="00041C1A" w:rsidTr="00D07EA7">
        <w:tc>
          <w:tcPr>
            <w:tcW w:w="9684" w:type="dxa"/>
            <w:shd w:val="clear" w:color="auto" w:fill="DAEEF3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Čl. 12</w:t>
            </w:r>
          </w:p>
        </w:tc>
      </w:tr>
      <w:tr w:rsidR="00331705" w:rsidRPr="00041C1A" w:rsidTr="00D07EA7">
        <w:tc>
          <w:tcPr>
            <w:tcW w:w="9684" w:type="dxa"/>
          </w:tcPr>
          <w:p w:rsidR="00331705" w:rsidRPr="001F4067" w:rsidRDefault="00331705" w:rsidP="00D07EA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1F4067">
              <w:rPr>
                <w:rFonts w:ascii="Arial" w:hAnsi="Arial" w:cs="Arial"/>
                <w:sz w:val="22"/>
                <w:szCs w:val="22"/>
              </w:rPr>
              <w:t>Závěrečné ustanovení</w:t>
            </w:r>
          </w:p>
        </w:tc>
      </w:tr>
    </w:tbl>
    <w:p w:rsidR="00331705" w:rsidRPr="00041C1A" w:rsidRDefault="00331705" w:rsidP="00331705">
      <w:pPr>
        <w:pStyle w:val="Zkladntext"/>
        <w:numPr>
          <w:ilvl w:val="0"/>
          <w:numId w:val="3"/>
        </w:numPr>
        <w:tabs>
          <w:tab w:val="left" w:pos="0"/>
        </w:tabs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Údaje o žadatelích o dotace a poskytnutých dotacích budou v každém kalendářním roce zapsány do veřejně přístupného informačního registru. Ústecký kraj jako orgán územní samosprávy je povinen poskytovat informace, vztahující se k jeho působnosti dle zákona č. 106/1999 Sb., o svobodném přístupu k informacím, ve znění pozdějších předpisů.</w:t>
      </w:r>
    </w:p>
    <w:p w:rsidR="00331705" w:rsidRPr="00041C1A" w:rsidRDefault="00331705" w:rsidP="00331705">
      <w:pPr>
        <w:pStyle w:val="Zkladntext"/>
        <w:widowControl/>
        <w:numPr>
          <w:ilvl w:val="0"/>
          <w:numId w:val="3"/>
        </w:numPr>
        <w:tabs>
          <w:tab w:val="left" w:pos="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V odůvodněných případech může schválit výjimku z těchto ZFVH Zastupitelstvo Ústeckého kraje, podle příslušných ustanovení zákona č. 129/2000 Sb., o krajích (krajské zřízení), ve znění pozdějších předpisů.</w:t>
      </w:r>
    </w:p>
    <w:p w:rsidR="00331705" w:rsidRPr="00041C1A" w:rsidRDefault="00331705" w:rsidP="00331705">
      <w:pPr>
        <w:pStyle w:val="Zkladntext"/>
        <w:widowControl/>
        <w:numPr>
          <w:ilvl w:val="0"/>
          <w:numId w:val="3"/>
        </w:numPr>
        <w:tabs>
          <w:tab w:val="left" w:pos="0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 xml:space="preserve">Tyto ZFVH byly schváleny usnesením Zastupitelstva Ústeckého kraje č. </w:t>
      </w:r>
      <w:r>
        <w:rPr>
          <w:rFonts w:ascii="Arial" w:hAnsi="Arial" w:cs="Arial"/>
          <w:b w:val="0"/>
          <w:sz w:val="22"/>
          <w:szCs w:val="22"/>
        </w:rPr>
        <w:t>86</w:t>
      </w:r>
      <w:r w:rsidRPr="00041C1A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12</w:t>
      </w:r>
      <w:r w:rsidRPr="00041C1A">
        <w:rPr>
          <w:rFonts w:ascii="Arial" w:hAnsi="Arial" w:cs="Arial"/>
          <w:b w:val="0"/>
          <w:sz w:val="22"/>
          <w:szCs w:val="22"/>
        </w:rPr>
        <w:t>Z/</w:t>
      </w:r>
      <w:r>
        <w:rPr>
          <w:rFonts w:ascii="Arial" w:hAnsi="Arial" w:cs="Arial"/>
          <w:b w:val="0"/>
          <w:sz w:val="22"/>
          <w:szCs w:val="22"/>
        </w:rPr>
        <w:t>2013</w:t>
      </w:r>
      <w:r w:rsidRPr="00041C1A">
        <w:rPr>
          <w:rFonts w:ascii="Arial" w:hAnsi="Arial" w:cs="Arial"/>
          <w:b w:val="0"/>
          <w:sz w:val="22"/>
          <w:szCs w:val="22"/>
        </w:rPr>
        <w:t xml:space="preserve"> ze dne </w:t>
      </w:r>
      <w:r>
        <w:rPr>
          <w:rFonts w:ascii="Arial" w:hAnsi="Arial" w:cs="Arial"/>
          <w:b w:val="0"/>
          <w:sz w:val="22"/>
          <w:szCs w:val="22"/>
        </w:rPr>
        <w:t>11</w:t>
      </w:r>
      <w:r w:rsidRPr="00041C1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12</w:t>
      </w:r>
      <w:r w:rsidRPr="00041C1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2013</w:t>
      </w:r>
      <w:r w:rsidRPr="00041C1A">
        <w:rPr>
          <w:rFonts w:ascii="Arial" w:hAnsi="Arial" w:cs="Arial"/>
          <w:b w:val="0"/>
          <w:sz w:val="22"/>
          <w:szCs w:val="22"/>
        </w:rPr>
        <w:t xml:space="preserve"> a nahrazují Zásady pro používání finančních prostředků z Fondu vodního hospodářství Ústeckého kraje schválené usnesením Zastupitelstva Ústeckého kraje č. 20/7Z/2009 ze dne 2. 9. 2009, které se tímto ruší. Žádosti o </w:t>
      </w:r>
      <w:r>
        <w:rPr>
          <w:rFonts w:ascii="Arial" w:hAnsi="Arial" w:cs="Arial"/>
          <w:b w:val="0"/>
          <w:sz w:val="22"/>
          <w:szCs w:val="22"/>
        </w:rPr>
        <w:t>dotaci</w:t>
      </w:r>
      <w:r w:rsidRPr="00041C1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došlé</w:t>
      </w:r>
      <w:r w:rsidRPr="00041C1A">
        <w:rPr>
          <w:rFonts w:ascii="Arial" w:hAnsi="Arial" w:cs="Arial"/>
          <w:b w:val="0"/>
          <w:sz w:val="22"/>
          <w:szCs w:val="22"/>
        </w:rPr>
        <w:t xml:space="preserve"> přede dnem nabytí platnosti a účinnosti těchto ZFVH </w:t>
      </w:r>
      <w:r>
        <w:rPr>
          <w:rFonts w:ascii="Arial" w:hAnsi="Arial" w:cs="Arial"/>
          <w:b w:val="0"/>
          <w:sz w:val="22"/>
          <w:szCs w:val="22"/>
        </w:rPr>
        <w:t xml:space="preserve">se řídí režimem </w:t>
      </w:r>
      <w:r w:rsidRPr="00041C1A">
        <w:rPr>
          <w:rFonts w:ascii="Arial" w:hAnsi="Arial" w:cs="Arial"/>
          <w:b w:val="0"/>
          <w:sz w:val="22"/>
          <w:szCs w:val="22"/>
        </w:rPr>
        <w:t>Zásad pro používání finančních prostředků z Fondu vodního hospodářství Ústeckého kraje schválených usnesením Zastupitelstva Ústeckého kraje č. 20/7Z/2009 ze dne 2. 9. 2009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331705" w:rsidRPr="00041C1A" w:rsidRDefault="00331705" w:rsidP="00331705">
      <w:pPr>
        <w:pStyle w:val="Zkladntext"/>
        <w:widowControl/>
        <w:numPr>
          <w:ilvl w:val="0"/>
          <w:numId w:val="3"/>
        </w:numPr>
        <w:tabs>
          <w:tab w:val="left" w:pos="0"/>
        </w:tabs>
        <w:spacing w:before="120" w:after="4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b w:val="0"/>
          <w:sz w:val="22"/>
          <w:szCs w:val="22"/>
        </w:rPr>
        <w:t>Tyto ZFVH nabývají platnosti a účinnosti dnem schválení Zastupitelstvem Ústeckého kraje.</w:t>
      </w:r>
    </w:p>
    <w:p w:rsidR="00120282" w:rsidRDefault="00120282"/>
    <w:sectPr w:rsidR="00120282" w:rsidSect="003317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05" w:rsidRDefault="00331705" w:rsidP="00331705">
      <w:r>
        <w:separator/>
      </w:r>
    </w:p>
  </w:endnote>
  <w:endnote w:type="continuationSeparator" w:id="0">
    <w:p w:rsidR="00331705" w:rsidRDefault="00331705" w:rsidP="0033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05" w:rsidRDefault="00331705" w:rsidP="00331705">
      <w:r>
        <w:separator/>
      </w:r>
    </w:p>
  </w:footnote>
  <w:footnote w:type="continuationSeparator" w:id="0">
    <w:p w:rsidR="00331705" w:rsidRDefault="00331705" w:rsidP="00331705">
      <w:r>
        <w:continuationSeparator/>
      </w:r>
    </w:p>
  </w:footnote>
  <w:footnote w:id="1">
    <w:p w:rsidR="00331705" w:rsidRPr="0047120D" w:rsidRDefault="00331705" w:rsidP="00331705">
      <w:pPr>
        <w:pStyle w:val="Textpoznpodarou"/>
        <w:rPr>
          <w:rFonts w:ascii="Arial" w:hAnsi="Arial" w:cs="Arial"/>
        </w:rPr>
      </w:pPr>
      <w:r w:rsidRPr="0047120D">
        <w:rPr>
          <w:rStyle w:val="Znakapoznpodarou"/>
          <w:rFonts w:ascii="Arial" w:hAnsi="Arial" w:cs="Arial"/>
          <w:sz w:val="16"/>
          <w:szCs w:val="16"/>
        </w:rPr>
        <w:footnoteRef/>
      </w:r>
      <w:r w:rsidRPr="0047120D">
        <w:rPr>
          <w:rFonts w:ascii="Arial" w:hAnsi="Arial" w:cs="Arial"/>
          <w:sz w:val="16"/>
          <w:szCs w:val="16"/>
        </w:rPr>
        <w:t xml:space="preserve"> Od 1.1.2014 dle  zákona č. 90/2012 Sb., o obchodních společnostech a družstvech (zákon o obchodních korporacích)</w:t>
      </w:r>
    </w:p>
  </w:footnote>
  <w:footnote w:id="2">
    <w:p w:rsidR="00331705" w:rsidRPr="0047120D" w:rsidRDefault="00331705" w:rsidP="00331705">
      <w:pPr>
        <w:pStyle w:val="Textpoznpodarou"/>
        <w:rPr>
          <w:rFonts w:ascii="Arial" w:hAnsi="Arial" w:cs="Arial"/>
          <w:sz w:val="16"/>
          <w:szCs w:val="16"/>
        </w:rPr>
      </w:pPr>
      <w:r w:rsidRPr="0047120D">
        <w:rPr>
          <w:rStyle w:val="Znakapoznpodarou"/>
          <w:rFonts w:ascii="Arial" w:hAnsi="Arial" w:cs="Arial"/>
          <w:sz w:val="16"/>
          <w:szCs w:val="16"/>
        </w:rPr>
        <w:footnoteRef/>
      </w:r>
      <w:r w:rsidRPr="0047120D">
        <w:rPr>
          <w:rFonts w:ascii="Arial" w:hAnsi="Arial" w:cs="Arial"/>
          <w:sz w:val="16"/>
          <w:szCs w:val="16"/>
        </w:rPr>
        <w:t xml:space="preserve"> dle § 1 odst. 1 zák. č. 274/2001 Sb., o vodovodech a kanalizacích pro veřejnou potřebu a o změně některých zákonů (zákon o vodovodech a kanalizacích)</w:t>
      </w:r>
    </w:p>
    <w:p w:rsidR="00331705" w:rsidRPr="00205795" w:rsidRDefault="00331705" w:rsidP="00331705">
      <w:pPr>
        <w:pStyle w:val="Textpoznpodarou"/>
        <w:rPr>
          <w:vertAlign w:val="superscrip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41F"/>
    <w:multiLevelType w:val="hybridMultilevel"/>
    <w:tmpl w:val="9B7AF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EEB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9C1A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0C51B6"/>
    <w:multiLevelType w:val="hybridMultilevel"/>
    <w:tmpl w:val="3BE4F5E6"/>
    <w:lvl w:ilvl="0" w:tplc="7804C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97E1C"/>
    <w:multiLevelType w:val="hybridMultilevel"/>
    <w:tmpl w:val="A5228D3A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7F16079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43D2C03"/>
    <w:multiLevelType w:val="hybridMultilevel"/>
    <w:tmpl w:val="3350E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F70A3"/>
    <w:multiLevelType w:val="multilevel"/>
    <w:tmpl w:val="D4C657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E4B09"/>
    <w:multiLevelType w:val="hybridMultilevel"/>
    <w:tmpl w:val="BD32D204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3873115"/>
    <w:multiLevelType w:val="hybridMultilevel"/>
    <w:tmpl w:val="AFAE490E"/>
    <w:lvl w:ilvl="0" w:tplc="29DC3DEE">
      <w:start w:val="2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A0D84"/>
    <w:multiLevelType w:val="hybridMultilevel"/>
    <w:tmpl w:val="6E2ADDD8"/>
    <w:lvl w:ilvl="0" w:tplc="5D145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2FD7"/>
    <w:multiLevelType w:val="hybridMultilevel"/>
    <w:tmpl w:val="07BE41A4"/>
    <w:lvl w:ilvl="0" w:tplc="7DB06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49173B"/>
    <w:multiLevelType w:val="hybridMultilevel"/>
    <w:tmpl w:val="FD2C371E"/>
    <w:lvl w:ilvl="0" w:tplc="0C9C393E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040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B0432C"/>
    <w:multiLevelType w:val="hybridMultilevel"/>
    <w:tmpl w:val="7946DDE0"/>
    <w:lvl w:ilvl="0" w:tplc="7DB06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3A3EA5"/>
    <w:multiLevelType w:val="hybridMultilevel"/>
    <w:tmpl w:val="3E26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722B3E"/>
    <w:multiLevelType w:val="multilevel"/>
    <w:tmpl w:val="4BE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C71AE"/>
    <w:multiLevelType w:val="hybridMultilevel"/>
    <w:tmpl w:val="8C4233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27117E"/>
    <w:multiLevelType w:val="hybridMultilevel"/>
    <w:tmpl w:val="5C106CD0"/>
    <w:lvl w:ilvl="0" w:tplc="082E15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0216A8"/>
    <w:multiLevelType w:val="hybridMultilevel"/>
    <w:tmpl w:val="B4F0D0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3073A6"/>
    <w:multiLevelType w:val="hybridMultilevel"/>
    <w:tmpl w:val="7822501E"/>
    <w:lvl w:ilvl="0" w:tplc="7DB06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542E28"/>
    <w:multiLevelType w:val="hybridMultilevel"/>
    <w:tmpl w:val="EF427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F171A"/>
    <w:multiLevelType w:val="hybridMultilevel"/>
    <w:tmpl w:val="E860436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04C40"/>
    <w:multiLevelType w:val="multilevel"/>
    <w:tmpl w:val="D044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995AAE"/>
    <w:multiLevelType w:val="hybridMultilevel"/>
    <w:tmpl w:val="41B649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909D8"/>
    <w:multiLevelType w:val="hybridMultilevel"/>
    <w:tmpl w:val="88EA016A"/>
    <w:lvl w:ilvl="0" w:tplc="3AC029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B50BD"/>
    <w:multiLevelType w:val="hybridMultilevel"/>
    <w:tmpl w:val="2C065452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493321E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70AA6F29"/>
    <w:multiLevelType w:val="hybridMultilevel"/>
    <w:tmpl w:val="55E8FC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56530F"/>
    <w:multiLevelType w:val="hybridMultilevel"/>
    <w:tmpl w:val="C3980FCC"/>
    <w:lvl w:ilvl="0" w:tplc="1E40FA94">
      <w:start w:val="1"/>
      <w:numFmt w:val="decimal"/>
      <w:lvlText w:val="%1)"/>
      <w:lvlJc w:val="left"/>
      <w:pPr>
        <w:ind w:left="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1" w:hanging="360"/>
      </w:pPr>
    </w:lvl>
    <w:lvl w:ilvl="2" w:tplc="0405001B" w:tentative="1">
      <w:start w:val="1"/>
      <w:numFmt w:val="lowerRoman"/>
      <w:lvlText w:val="%3."/>
      <w:lvlJc w:val="right"/>
      <w:pPr>
        <w:ind w:left="1521" w:hanging="180"/>
      </w:pPr>
    </w:lvl>
    <w:lvl w:ilvl="3" w:tplc="0405000F" w:tentative="1">
      <w:start w:val="1"/>
      <w:numFmt w:val="decimal"/>
      <w:lvlText w:val="%4."/>
      <w:lvlJc w:val="left"/>
      <w:pPr>
        <w:ind w:left="2241" w:hanging="360"/>
      </w:pPr>
    </w:lvl>
    <w:lvl w:ilvl="4" w:tplc="04050019" w:tentative="1">
      <w:start w:val="1"/>
      <w:numFmt w:val="lowerLetter"/>
      <w:lvlText w:val="%5."/>
      <w:lvlJc w:val="left"/>
      <w:pPr>
        <w:ind w:left="2961" w:hanging="360"/>
      </w:pPr>
    </w:lvl>
    <w:lvl w:ilvl="5" w:tplc="0405001B" w:tentative="1">
      <w:start w:val="1"/>
      <w:numFmt w:val="lowerRoman"/>
      <w:lvlText w:val="%6."/>
      <w:lvlJc w:val="right"/>
      <w:pPr>
        <w:ind w:left="3681" w:hanging="180"/>
      </w:pPr>
    </w:lvl>
    <w:lvl w:ilvl="6" w:tplc="0405000F" w:tentative="1">
      <w:start w:val="1"/>
      <w:numFmt w:val="decimal"/>
      <w:lvlText w:val="%7."/>
      <w:lvlJc w:val="left"/>
      <w:pPr>
        <w:ind w:left="4401" w:hanging="360"/>
      </w:pPr>
    </w:lvl>
    <w:lvl w:ilvl="7" w:tplc="04050019" w:tentative="1">
      <w:start w:val="1"/>
      <w:numFmt w:val="lowerLetter"/>
      <w:lvlText w:val="%8."/>
      <w:lvlJc w:val="left"/>
      <w:pPr>
        <w:ind w:left="5121" w:hanging="360"/>
      </w:pPr>
    </w:lvl>
    <w:lvl w:ilvl="8" w:tplc="0405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6">
    <w:nsid w:val="76CE00B2"/>
    <w:multiLevelType w:val="hybridMultilevel"/>
    <w:tmpl w:val="03D079E8"/>
    <w:lvl w:ilvl="0" w:tplc="3AC029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C4D11"/>
    <w:multiLevelType w:val="hybridMultilevel"/>
    <w:tmpl w:val="C1C09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25"/>
  </w:num>
  <w:num w:numId="10">
    <w:abstractNumId w:val="8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4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5"/>
  </w:num>
  <w:num w:numId="21">
    <w:abstractNumId w:val="19"/>
  </w:num>
  <w:num w:numId="22">
    <w:abstractNumId w:val="3"/>
  </w:num>
  <w:num w:numId="23">
    <w:abstractNumId w:val="17"/>
  </w:num>
  <w:num w:numId="24">
    <w:abstractNumId w:val="27"/>
  </w:num>
  <w:num w:numId="25">
    <w:abstractNumId w:val="15"/>
  </w:num>
  <w:num w:numId="26">
    <w:abstractNumId w:val="20"/>
  </w:num>
  <w:num w:numId="27">
    <w:abstractNumId w:val="24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705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331705"/>
    <w:rsid w:val="0035397F"/>
    <w:rsid w:val="003866B3"/>
    <w:rsid w:val="00397C37"/>
    <w:rsid w:val="003A5107"/>
    <w:rsid w:val="00492A7C"/>
    <w:rsid w:val="005337A7"/>
    <w:rsid w:val="00560132"/>
    <w:rsid w:val="005645B7"/>
    <w:rsid w:val="005A4AD5"/>
    <w:rsid w:val="005D1676"/>
    <w:rsid w:val="0063141E"/>
    <w:rsid w:val="006B275B"/>
    <w:rsid w:val="006C569D"/>
    <w:rsid w:val="008043E4"/>
    <w:rsid w:val="00820332"/>
    <w:rsid w:val="00827366"/>
    <w:rsid w:val="009059B8"/>
    <w:rsid w:val="00907A1D"/>
    <w:rsid w:val="0096484E"/>
    <w:rsid w:val="009B07EB"/>
    <w:rsid w:val="009F2F70"/>
    <w:rsid w:val="00A10F41"/>
    <w:rsid w:val="00A90FDD"/>
    <w:rsid w:val="00AE7884"/>
    <w:rsid w:val="00B35500"/>
    <w:rsid w:val="00B555C8"/>
    <w:rsid w:val="00BE0B7F"/>
    <w:rsid w:val="00C14239"/>
    <w:rsid w:val="00CB34BD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31705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17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31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31705"/>
    <w:rPr>
      <w:vertAlign w:val="superscript"/>
    </w:rPr>
  </w:style>
  <w:style w:type="paragraph" w:styleId="Normlnweb">
    <w:name w:val="Normal (Web)"/>
    <w:basedOn w:val="Normln"/>
    <w:uiPriority w:val="99"/>
    <w:rsid w:val="00331705"/>
    <w:pPr>
      <w:spacing w:before="100" w:beforeAutospacing="1" w:after="100" w:afterAutospacing="1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3317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4392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2014-01-15T11:27:00Z</dcterms:created>
  <dcterms:modified xsi:type="dcterms:W3CDTF">2014-01-15T11:57:00Z</dcterms:modified>
</cp:coreProperties>
</file>