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E7" w:rsidRPr="00041C1A" w:rsidRDefault="005105E7" w:rsidP="005105E7">
      <w:pPr>
        <w:pStyle w:val="Zkladntext"/>
        <w:widowControl/>
        <w:tabs>
          <w:tab w:val="left" w:pos="0"/>
        </w:tabs>
        <w:ind w:firstLine="5245"/>
        <w:jc w:val="right"/>
        <w:rPr>
          <w:rFonts w:ascii="Arial" w:hAnsi="Arial" w:cs="Arial"/>
          <w:sz w:val="22"/>
          <w:szCs w:val="22"/>
        </w:rPr>
      </w:pPr>
      <w:r w:rsidRPr="00041C1A">
        <w:rPr>
          <w:rFonts w:ascii="Arial" w:hAnsi="Arial" w:cs="Arial"/>
          <w:sz w:val="22"/>
          <w:szCs w:val="22"/>
        </w:rPr>
        <w:t>Příloha č. 5 k ZFVH</w:t>
      </w:r>
    </w:p>
    <w:p w:rsidR="005105E7" w:rsidRPr="00041C1A" w:rsidRDefault="005105E7" w:rsidP="005105E7">
      <w:pPr>
        <w:pStyle w:val="Zkladntext"/>
        <w:widowControl/>
        <w:tabs>
          <w:tab w:val="left" w:pos="0"/>
        </w:tabs>
        <w:ind w:firstLine="5245"/>
        <w:jc w:val="right"/>
        <w:rPr>
          <w:rFonts w:ascii="Arial" w:hAnsi="Arial" w:cs="Arial"/>
          <w:b w:val="0"/>
          <w:sz w:val="22"/>
          <w:szCs w:val="22"/>
        </w:rPr>
      </w:pPr>
    </w:p>
    <w:p w:rsidR="005105E7" w:rsidRPr="00041C1A" w:rsidRDefault="005105E7" w:rsidP="005105E7">
      <w:pPr>
        <w:pStyle w:val="nadpis-smlouva"/>
        <w:spacing w:before="360"/>
        <w:rPr>
          <w:rFonts w:cs="Arial"/>
        </w:rPr>
      </w:pPr>
      <w:r w:rsidRPr="00041C1A">
        <w:rPr>
          <w:rFonts w:cs="Arial"/>
        </w:rPr>
        <w:t>Smlouva O POSKYTNUTÍ INVESTIČNÍ DOTACE</w:t>
      </w:r>
    </w:p>
    <w:p w:rsidR="005105E7" w:rsidRPr="00041C1A" w:rsidRDefault="005105E7" w:rsidP="005105E7">
      <w:pPr>
        <w:pStyle w:val="nadpis-smlouva"/>
        <w:rPr>
          <w:rFonts w:cs="Arial"/>
          <w:b w:val="0"/>
          <w:caps w:val="0"/>
          <w:sz w:val="22"/>
        </w:rPr>
      </w:pPr>
      <w:r w:rsidRPr="00041C1A">
        <w:rPr>
          <w:rFonts w:cs="Arial"/>
          <w:b w:val="0"/>
          <w:caps w:val="0"/>
          <w:sz w:val="22"/>
        </w:rPr>
        <w:t>uzavřená v souladu s </w:t>
      </w:r>
      <w:proofErr w:type="spellStart"/>
      <w:r w:rsidRPr="00041C1A">
        <w:rPr>
          <w:rFonts w:cs="Arial"/>
          <w:b w:val="0"/>
          <w:caps w:val="0"/>
          <w:sz w:val="22"/>
        </w:rPr>
        <w:t>ust</w:t>
      </w:r>
      <w:proofErr w:type="spellEnd"/>
      <w:r w:rsidRPr="00041C1A">
        <w:rPr>
          <w:rFonts w:cs="Arial"/>
          <w:b w:val="0"/>
          <w:caps w:val="0"/>
          <w:sz w:val="22"/>
        </w:rPr>
        <w:t>. § 159 odst. 1 zákona č. 500/2004 Sb., správní řád, ve znění pozdějších předpisů (dále jen „správní řád“)</w:t>
      </w:r>
    </w:p>
    <w:p w:rsidR="005105E7" w:rsidRPr="00041C1A" w:rsidRDefault="005105E7" w:rsidP="005105E7">
      <w:pPr>
        <w:pStyle w:val="nadpis-bod"/>
        <w:spacing w:before="600"/>
        <w:rPr>
          <w:rFonts w:cs="Arial"/>
        </w:rPr>
      </w:pPr>
      <w:r w:rsidRPr="00041C1A">
        <w:rPr>
          <w:rFonts w:cs="Arial"/>
        </w:rPr>
        <w:t>Smluvní strany</w:t>
      </w:r>
    </w:p>
    <w:p w:rsidR="005105E7" w:rsidRPr="00041C1A" w:rsidRDefault="005105E7" w:rsidP="005105E7">
      <w:pPr>
        <w:pStyle w:val="adresa"/>
        <w:rPr>
          <w:rFonts w:cs="Arial"/>
        </w:rPr>
      </w:pPr>
      <w:r w:rsidRPr="00041C1A">
        <w:rPr>
          <w:rFonts w:cs="Arial"/>
        </w:rPr>
        <w:t>Poskytovatel:</w:t>
      </w:r>
    </w:p>
    <w:p w:rsidR="005105E7" w:rsidRPr="00041C1A" w:rsidRDefault="005105E7" w:rsidP="005105E7">
      <w:pPr>
        <w:pStyle w:val="adresa"/>
        <w:rPr>
          <w:rFonts w:cs="Arial"/>
        </w:rPr>
      </w:pPr>
      <w:r w:rsidRPr="00041C1A">
        <w:rPr>
          <w:rFonts w:cs="Arial"/>
        </w:rPr>
        <w:t>Ústecký kraj</w:t>
      </w:r>
    </w:p>
    <w:p w:rsidR="005105E7" w:rsidRPr="00041C1A" w:rsidRDefault="005105E7" w:rsidP="005105E7">
      <w:pPr>
        <w:pStyle w:val="pole"/>
        <w:rPr>
          <w:rFonts w:cs="Arial"/>
        </w:rPr>
      </w:pPr>
      <w:r w:rsidRPr="00041C1A">
        <w:rPr>
          <w:rFonts w:cs="Arial"/>
        </w:rPr>
        <w:t>Sídlo:</w:t>
      </w:r>
      <w:r w:rsidRPr="00041C1A">
        <w:rPr>
          <w:rFonts w:cs="Arial"/>
        </w:rPr>
        <w:tab/>
        <w:t>Velká Hradební 3118/48, 400 02 Ústí nad Labem</w:t>
      </w:r>
    </w:p>
    <w:p w:rsidR="005105E7" w:rsidRPr="00041C1A" w:rsidRDefault="005105E7" w:rsidP="005105E7">
      <w:pPr>
        <w:pStyle w:val="pole"/>
        <w:rPr>
          <w:rFonts w:cs="Arial"/>
        </w:rPr>
      </w:pPr>
      <w:r w:rsidRPr="00041C1A">
        <w:rPr>
          <w:rFonts w:cs="Arial"/>
        </w:rPr>
        <w:t>Zastoupený:</w:t>
      </w:r>
      <w:r w:rsidRPr="00041C1A">
        <w:rPr>
          <w:rFonts w:cs="Arial"/>
        </w:rPr>
        <w:tab/>
        <w:t>Oldřichem Bubeníčkem, hejtmanem Ústeckého kraje</w:t>
      </w:r>
    </w:p>
    <w:p w:rsidR="005105E7" w:rsidRPr="00041C1A" w:rsidRDefault="005105E7" w:rsidP="005105E7">
      <w:pPr>
        <w:pStyle w:val="pole"/>
        <w:jc w:val="both"/>
        <w:rPr>
          <w:rFonts w:cs="Arial"/>
        </w:rPr>
      </w:pPr>
      <w:r w:rsidRPr="00041C1A">
        <w:rPr>
          <w:rFonts w:cs="Arial"/>
        </w:rPr>
        <w:t>Kontaktní osoba:</w:t>
      </w:r>
      <w:r w:rsidRPr="00041C1A">
        <w:rPr>
          <w:rFonts w:cs="Arial"/>
        </w:rPr>
        <w:tab/>
        <w:t>Ing. Romana Maturkaničová, referent odboru životního prostředí a zemědělství Krajského úřadu Ústeckého kraje</w:t>
      </w:r>
    </w:p>
    <w:p w:rsidR="005105E7" w:rsidRPr="00041C1A" w:rsidRDefault="005105E7" w:rsidP="005105E7">
      <w:pPr>
        <w:pStyle w:val="pole"/>
        <w:rPr>
          <w:rFonts w:cs="Arial"/>
        </w:rPr>
      </w:pPr>
      <w:r w:rsidRPr="00041C1A">
        <w:rPr>
          <w:rFonts w:cs="Arial"/>
        </w:rPr>
        <w:t>E-mail/telefon:</w:t>
      </w:r>
      <w:r w:rsidRPr="00041C1A">
        <w:rPr>
          <w:rFonts w:cs="Arial"/>
        </w:rPr>
        <w:tab/>
        <w:t>maturkanicova.r@kr-ustecky.cz</w:t>
      </w:r>
    </w:p>
    <w:p w:rsidR="005105E7" w:rsidRPr="00041C1A" w:rsidRDefault="005105E7" w:rsidP="005105E7">
      <w:pPr>
        <w:pStyle w:val="pole"/>
        <w:rPr>
          <w:rFonts w:cs="Arial"/>
        </w:rPr>
      </w:pPr>
      <w:r w:rsidRPr="00041C1A">
        <w:rPr>
          <w:rFonts w:cs="Arial"/>
        </w:rPr>
        <w:t>IČ:</w:t>
      </w:r>
      <w:r w:rsidRPr="00041C1A">
        <w:rPr>
          <w:rFonts w:cs="Arial"/>
        </w:rPr>
        <w:tab/>
        <w:t>70892156</w:t>
      </w:r>
    </w:p>
    <w:p w:rsidR="005105E7" w:rsidRPr="00041C1A" w:rsidRDefault="005105E7" w:rsidP="005105E7">
      <w:pPr>
        <w:pStyle w:val="pole"/>
        <w:rPr>
          <w:rFonts w:cs="Arial"/>
        </w:rPr>
      </w:pPr>
      <w:r w:rsidRPr="00041C1A">
        <w:rPr>
          <w:rFonts w:cs="Arial"/>
        </w:rPr>
        <w:t>DIČ:</w:t>
      </w:r>
      <w:r w:rsidRPr="00041C1A">
        <w:rPr>
          <w:rFonts w:cs="Arial"/>
        </w:rPr>
        <w:tab/>
        <w:t>CZ70892156</w:t>
      </w:r>
    </w:p>
    <w:p w:rsidR="005105E7" w:rsidRPr="00041C1A" w:rsidRDefault="005105E7" w:rsidP="005105E7">
      <w:pPr>
        <w:pStyle w:val="pole"/>
        <w:rPr>
          <w:rFonts w:cs="Arial"/>
        </w:rPr>
      </w:pPr>
      <w:r w:rsidRPr="00041C1A">
        <w:rPr>
          <w:rFonts w:cs="Arial"/>
        </w:rPr>
        <w:t>Bank. spojení:</w:t>
      </w:r>
      <w:r w:rsidRPr="00041C1A">
        <w:rPr>
          <w:rFonts w:cs="Arial"/>
        </w:rPr>
        <w:tab/>
        <w:t>Česká spořitelna, a.s.</w:t>
      </w:r>
    </w:p>
    <w:p w:rsidR="005105E7" w:rsidRPr="00041C1A" w:rsidRDefault="005105E7" w:rsidP="005105E7">
      <w:pPr>
        <w:pStyle w:val="pole"/>
        <w:rPr>
          <w:rFonts w:cs="Arial"/>
        </w:rPr>
      </w:pPr>
      <w:r w:rsidRPr="00041C1A">
        <w:rPr>
          <w:rFonts w:cs="Arial"/>
        </w:rPr>
        <w:tab/>
        <w:t>číslo účtu: 40184-0883028399/0800</w:t>
      </w:r>
    </w:p>
    <w:p w:rsidR="005105E7" w:rsidRPr="00041C1A" w:rsidRDefault="005105E7" w:rsidP="005105E7">
      <w:pPr>
        <w:pStyle w:val="adresa"/>
        <w:spacing w:before="240" w:after="240"/>
        <w:rPr>
          <w:rFonts w:cs="Arial"/>
        </w:rPr>
      </w:pPr>
      <w:r w:rsidRPr="00041C1A">
        <w:rPr>
          <w:rFonts w:cs="Arial"/>
        </w:rPr>
        <w:t>a</w:t>
      </w:r>
    </w:p>
    <w:p w:rsidR="005105E7" w:rsidRPr="00041C1A" w:rsidRDefault="005105E7" w:rsidP="005105E7">
      <w:pPr>
        <w:pStyle w:val="adresa"/>
        <w:rPr>
          <w:rFonts w:cs="Arial"/>
        </w:rPr>
      </w:pPr>
      <w:r w:rsidRPr="00041C1A">
        <w:rPr>
          <w:rFonts w:cs="Arial"/>
        </w:rPr>
        <w:t>Příjemce:</w:t>
      </w:r>
    </w:p>
    <w:p w:rsidR="005105E7" w:rsidRPr="00041C1A" w:rsidRDefault="005105E7" w:rsidP="005105E7">
      <w:pPr>
        <w:pStyle w:val="adresa"/>
        <w:rPr>
          <w:rFonts w:cs="Arial"/>
          <w:color w:val="0000FF"/>
        </w:rPr>
      </w:pPr>
      <w:r>
        <w:rPr>
          <w:rFonts w:cs="Arial"/>
          <w:color w:val="0000FF"/>
        </w:rPr>
        <w:t>Jméno:</w:t>
      </w:r>
      <w:r w:rsidRPr="00041C1A">
        <w:rPr>
          <w:rFonts w:cs="Arial"/>
          <w:color w:val="0000FF"/>
        </w:rPr>
        <w:tab/>
      </w:r>
    </w:p>
    <w:p w:rsidR="005105E7" w:rsidRPr="00041C1A" w:rsidRDefault="005105E7" w:rsidP="005105E7">
      <w:pPr>
        <w:pStyle w:val="pole"/>
        <w:rPr>
          <w:rFonts w:cs="Arial"/>
          <w:color w:val="0000FF"/>
        </w:rPr>
      </w:pPr>
      <w:r w:rsidRPr="00041C1A">
        <w:rPr>
          <w:rFonts w:cs="Arial"/>
          <w:color w:val="0000FF"/>
        </w:rPr>
        <w:t>Sídlo:</w:t>
      </w:r>
      <w:r w:rsidRPr="00041C1A">
        <w:rPr>
          <w:rFonts w:cs="Arial"/>
          <w:color w:val="0000FF"/>
        </w:rPr>
        <w:tab/>
      </w:r>
    </w:p>
    <w:p w:rsidR="005105E7" w:rsidRPr="00041C1A" w:rsidRDefault="005105E7" w:rsidP="005105E7">
      <w:pPr>
        <w:pStyle w:val="pole"/>
        <w:rPr>
          <w:rFonts w:cs="Arial"/>
          <w:color w:val="0000FF"/>
        </w:rPr>
      </w:pPr>
      <w:r w:rsidRPr="00041C1A">
        <w:rPr>
          <w:rFonts w:cs="Arial"/>
          <w:color w:val="0000FF"/>
        </w:rPr>
        <w:t>Zastoupený:</w:t>
      </w:r>
      <w:r w:rsidRPr="00041C1A">
        <w:rPr>
          <w:rFonts w:cs="Arial"/>
          <w:color w:val="0000FF"/>
        </w:rPr>
        <w:tab/>
      </w:r>
    </w:p>
    <w:p w:rsidR="005105E7" w:rsidRPr="00041C1A" w:rsidRDefault="005105E7" w:rsidP="005105E7">
      <w:pPr>
        <w:pStyle w:val="pole"/>
        <w:rPr>
          <w:rFonts w:cs="Arial"/>
          <w:color w:val="0000FF"/>
        </w:rPr>
      </w:pPr>
      <w:r w:rsidRPr="00041C1A">
        <w:rPr>
          <w:rFonts w:cs="Arial"/>
          <w:color w:val="0000FF"/>
        </w:rPr>
        <w:t>Kontaktní osoba:</w:t>
      </w:r>
      <w:r w:rsidRPr="00041C1A">
        <w:rPr>
          <w:rFonts w:cs="Arial"/>
          <w:color w:val="0000FF"/>
        </w:rPr>
        <w:tab/>
      </w:r>
    </w:p>
    <w:p w:rsidR="005105E7" w:rsidRPr="00041C1A" w:rsidRDefault="005105E7" w:rsidP="005105E7">
      <w:pPr>
        <w:pStyle w:val="pole"/>
        <w:rPr>
          <w:rFonts w:cs="Arial"/>
          <w:color w:val="0000FF"/>
        </w:rPr>
      </w:pPr>
      <w:r w:rsidRPr="00041C1A">
        <w:rPr>
          <w:rFonts w:cs="Arial"/>
          <w:color w:val="0000FF"/>
        </w:rPr>
        <w:t>E-mail/telefon:</w:t>
      </w:r>
      <w:r w:rsidRPr="00041C1A">
        <w:rPr>
          <w:rFonts w:cs="Arial"/>
          <w:color w:val="0000FF"/>
        </w:rPr>
        <w:tab/>
      </w:r>
    </w:p>
    <w:p w:rsidR="005105E7" w:rsidRPr="00041C1A" w:rsidRDefault="005105E7" w:rsidP="005105E7">
      <w:pPr>
        <w:pStyle w:val="pole"/>
        <w:rPr>
          <w:rFonts w:cs="Arial"/>
          <w:color w:val="0000FF"/>
        </w:rPr>
      </w:pPr>
      <w:r w:rsidRPr="00041C1A">
        <w:rPr>
          <w:rFonts w:cs="Arial"/>
          <w:color w:val="0000FF"/>
        </w:rPr>
        <w:t>IČ (RČ):</w:t>
      </w:r>
      <w:r w:rsidRPr="00041C1A">
        <w:rPr>
          <w:rFonts w:cs="Arial"/>
          <w:color w:val="0000FF"/>
        </w:rPr>
        <w:tab/>
      </w:r>
    </w:p>
    <w:p w:rsidR="005105E7" w:rsidRPr="00041C1A" w:rsidRDefault="005105E7" w:rsidP="005105E7">
      <w:pPr>
        <w:pStyle w:val="pole"/>
        <w:tabs>
          <w:tab w:val="clear" w:pos="1701"/>
          <w:tab w:val="left" w:pos="1800"/>
        </w:tabs>
        <w:rPr>
          <w:rFonts w:cs="Arial"/>
          <w:color w:val="0000FF"/>
        </w:rPr>
      </w:pPr>
      <w:r w:rsidRPr="00041C1A">
        <w:rPr>
          <w:rFonts w:cs="Arial"/>
          <w:color w:val="0000FF"/>
        </w:rPr>
        <w:t>DIČ:</w:t>
      </w:r>
      <w:r w:rsidRPr="00041C1A">
        <w:rPr>
          <w:rFonts w:cs="Arial"/>
          <w:color w:val="0000FF"/>
        </w:rPr>
        <w:tab/>
      </w:r>
    </w:p>
    <w:p w:rsidR="005105E7" w:rsidRPr="00041C1A" w:rsidRDefault="005105E7" w:rsidP="005105E7">
      <w:pPr>
        <w:pStyle w:val="pole"/>
        <w:rPr>
          <w:rFonts w:cs="Arial"/>
        </w:rPr>
      </w:pPr>
      <w:r w:rsidRPr="00041C1A">
        <w:rPr>
          <w:rFonts w:cs="Arial"/>
        </w:rPr>
        <w:t>Bank. spojení:</w:t>
      </w:r>
      <w:r w:rsidRPr="00041C1A">
        <w:rPr>
          <w:rFonts w:cs="Arial"/>
        </w:rPr>
        <w:tab/>
      </w:r>
    </w:p>
    <w:p w:rsidR="005105E7" w:rsidRPr="00041C1A" w:rsidRDefault="005105E7" w:rsidP="005105E7">
      <w:pPr>
        <w:pStyle w:val="pole"/>
        <w:rPr>
          <w:rFonts w:cs="Arial"/>
        </w:rPr>
      </w:pPr>
      <w:r w:rsidRPr="00041C1A">
        <w:rPr>
          <w:rFonts w:cs="Arial"/>
        </w:rPr>
        <w:tab/>
        <w:t>číslo účtu:</w:t>
      </w:r>
    </w:p>
    <w:p w:rsidR="005105E7" w:rsidRPr="00041C1A" w:rsidRDefault="005105E7" w:rsidP="005105E7">
      <w:pPr>
        <w:pStyle w:val="pole"/>
        <w:jc w:val="both"/>
        <w:rPr>
          <w:rFonts w:cs="Arial"/>
          <w:color w:val="0000FF"/>
        </w:rPr>
      </w:pPr>
      <w:r w:rsidRPr="00041C1A">
        <w:rPr>
          <w:rFonts w:cs="Arial"/>
          <w:color w:val="0000FF"/>
        </w:rPr>
        <w:t>Příjemce je zapsán v obchodním rejstříku u …………………, oddíl ............, vložka ..........</w:t>
      </w:r>
    </w:p>
    <w:p w:rsidR="005105E7" w:rsidRPr="00041C1A" w:rsidRDefault="005105E7" w:rsidP="005105E7">
      <w:pPr>
        <w:pStyle w:val="pole"/>
        <w:jc w:val="both"/>
        <w:rPr>
          <w:rFonts w:cs="Arial"/>
          <w:color w:val="0000FF"/>
        </w:rPr>
      </w:pPr>
      <w:r w:rsidRPr="00041C1A">
        <w:rPr>
          <w:rFonts w:cs="Arial"/>
          <w:color w:val="0000FF"/>
        </w:rPr>
        <w:t xml:space="preserve">(Příjemci byl vydán výpis ze živnostenského rejstříku </w:t>
      </w:r>
      <w:proofErr w:type="spellStart"/>
      <w:r w:rsidRPr="00041C1A">
        <w:rPr>
          <w:rFonts w:cs="Arial"/>
          <w:color w:val="0000FF"/>
        </w:rPr>
        <w:t>č.j</w:t>
      </w:r>
      <w:proofErr w:type="spellEnd"/>
      <w:r w:rsidRPr="00041C1A">
        <w:rPr>
          <w:rFonts w:cs="Arial"/>
          <w:color w:val="0000FF"/>
        </w:rPr>
        <w:t>. ...… Živnostenským úřadem v ………. dne ……….)</w:t>
      </w:r>
    </w:p>
    <w:p w:rsidR="005105E7" w:rsidRPr="00041C1A" w:rsidRDefault="005105E7" w:rsidP="005105E7">
      <w:pPr>
        <w:pStyle w:val="pole"/>
        <w:tabs>
          <w:tab w:val="clear" w:pos="1701"/>
          <w:tab w:val="left" w:pos="0"/>
        </w:tabs>
        <w:ind w:left="0" w:firstLine="0"/>
        <w:jc w:val="both"/>
        <w:rPr>
          <w:rFonts w:cs="Arial"/>
        </w:rPr>
      </w:pPr>
      <w:r w:rsidRPr="00041C1A">
        <w:rPr>
          <w:rFonts w:cs="Arial"/>
          <w:color w:val="0000FF"/>
        </w:rPr>
        <w:t>Výpis z obchodního rejstříku (Výpis ze živnostenského rejstříku)</w:t>
      </w:r>
      <w:r w:rsidRPr="00041C1A">
        <w:rPr>
          <w:rFonts w:cs="Arial"/>
        </w:rPr>
        <w:t xml:space="preserve"> příjemce tvoří přílohu č. 1 k této smlouvě.</w:t>
      </w:r>
    </w:p>
    <w:p w:rsidR="005105E7" w:rsidRPr="00041C1A" w:rsidRDefault="005105E7" w:rsidP="005105E7">
      <w:pPr>
        <w:widowControl w:val="0"/>
        <w:autoSpaceDE w:val="0"/>
        <w:autoSpaceDN w:val="0"/>
        <w:adjustRightInd w:val="0"/>
        <w:spacing w:before="360" w:after="100"/>
        <w:jc w:val="center"/>
        <w:rPr>
          <w:rFonts w:ascii="Arial" w:hAnsi="Arial" w:cs="Arial"/>
        </w:rPr>
      </w:pPr>
      <w:r w:rsidRPr="00041C1A">
        <w:rPr>
          <w:rFonts w:ascii="Arial" w:hAnsi="Arial" w:cs="Arial"/>
        </w:rPr>
        <w:t>uzavírají níže uvedeného dne, měsíce a roku tuto</w:t>
      </w:r>
    </w:p>
    <w:p w:rsidR="005105E7" w:rsidRPr="00041C1A" w:rsidRDefault="005105E7" w:rsidP="005105E7">
      <w:pPr>
        <w:pStyle w:val="nadpis-smlouva"/>
        <w:spacing w:before="360"/>
        <w:rPr>
          <w:rFonts w:cs="Arial"/>
        </w:rPr>
      </w:pPr>
      <w:r w:rsidRPr="00041C1A">
        <w:rPr>
          <w:rFonts w:cs="Arial"/>
        </w:rPr>
        <w:t>SmlouvU O POSKYTNUTÍ INVESTIČNÍ DOTACE</w:t>
      </w:r>
    </w:p>
    <w:p w:rsidR="005105E7" w:rsidRPr="00041C1A" w:rsidRDefault="005105E7" w:rsidP="005105E7">
      <w:pPr>
        <w:pStyle w:val="Zkladntext"/>
        <w:spacing w:before="360"/>
        <w:rPr>
          <w:rFonts w:ascii="Arial" w:hAnsi="Arial" w:cs="Arial"/>
          <w:b w:val="0"/>
          <w:bCs/>
          <w:sz w:val="22"/>
          <w:szCs w:val="22"/>
        </w:rPr>
      </w:pPr>
      <w:r w:rsidRPr="00041C1A">
        <w:rPr>
          <w:rFonts w:ascii="Arial" w:hAnsi="Arial" w:cs="Arial"/>
          <w:b w:val="0"/>
          <w:bCs/>
          <w:sz w:val="22"/>
          <w:szCs w:val="22"/>
        </w:rPr>
        <w:t>k realizaci projektu ………………………… ( dále jen „smlouva“)</w:t>
      </w:r>
    </w:p>
    <w:p w:rsidR="005105E7" w:rsidRPr="00041C1A" w:rsidRDefault="005105E7" w:rsidP="005105E7">
      <w:pPr>
        <w:pStyle w:val="Zkladntext"/>
        <w:spacing w:before="240" w:after="240"/>
        <w:outlineLvl w:val="0"/>
        <w:rPr>
          <w:rFonts w:ascii="Arial" w:hAnsi="Arial" w:cs="Arial"/>
          <w:b w:val="0"/>
          <w:bCs/>
          <w:sz w:val="22"/>
          <w:szCs w:val="22"/>
        </w:rPr>
      </w:pPr>
      <w:r w:rsidRPr="00041C1A">
        <w:rPr>
          <w:rFonts w:ascii="Arial" w:hAnsi="Arial" w:cs="Arial"/>
          <w:b w:val="0"/>
          <w:bCs/>
          <w:sz w:val="22"/>
          <w:szCs w:val="22"/>
        </w:rPr>
        <w:t>Preambule</w:t>
      </w:r>
    </w:p>
    <w:p w:rsidR="005105E7" w:rsidRPr="00041C1A" w:rsidRDefault="005105E7" w:rsidP="005105E7">
      <w:pPr>
        <w:pStyle w:val="Zkladntext"/>
        <w:rPr>
          <w:rFonts w:ascii="Arial" w:hAnsi="Arial" w:cs="Arial"/>
          <w:sz w:val="22"/>
          <w:szCs w:val="22"/>
        </w:rPr>
      </w:pPr>
      <w:r w:rsidRPr="00041C1A">
        <w:rPr>
          <w:rFonts w:ascii="Arial" w:hAnsi="Arial" w:cs="Arial"/>
          <w:sz w:val="22"/>
          <w:szCs w:val="22"/>
        </w:rPr>
        <w:t>Pro účely poskytování dotací byly usnesením</w:t>
      </w:r>
      <w:r w:rsidRPr="00041C1A">
        <w:rPr>
          <w:rFonts w:ascii="Arial" w:hAnsi="Arial" w:cs="Arial"/>
          <w:b w:val="0"/>
          <w:bCs/>
          <w:sz w:val="22"/>
          <w:szCs w:val="22"/>
        </w:rPr>
        <w:t xml:space="preserve"> </w:t>
      </w:r>
      <w:r w:rsidRPr="00041C1A">
        <w:rPr>
          <w:rFonts w:ascii="Arial" w:hAnsi="Arial" w:cs="Arial"/>
          <w:bCs/>
          <w:sz w:val="22"/>
          <w:szCs w:val="22"/>
        </w:rPr>
        <w:t>Zastupitelstva</w:t>
      </w:r>
      <w:r w:rsidRPr="00041C1A">
        <w:rPr>
          <w:rFonts w:ascii="Arial" w:hAnsi="Arial" w:cs="Arial"/>
          <w:sz w:val="22"/>
          <w:szCs w:val="22"/>
        </w:rPr>
        <w:t xml:space="preserve"> Ústeckého kraje </w:t>
      </w:r>
      <w:r w:rsidRPr="00041C1A">
        <w:rPr>
          <w:rFonts w:ascii="Arial" w:hAnsi="Arial" w:cs="Arial"/>
          <w:b w:val="0"/>
          <w:sz w:val="22"/>
          <w:szCs w:val="22"/>
        </w:rPr>
        <w:t>č. </w:t>
      </w:r>
      <w:proofErr w:type="spellStart"/>
      <w:r w:rsidRPr="00041C1A">
        <w:rPr>
          <w:rFonts w:ascii="Arial" w:hAnsi="Arial" w:cs="Arial"/>
          <w:b w:val="0"/>
          <w:sz w:val="22"/>
          <w:szCs w:val="22"/>
        </w:rPr>
        <w:t>xx</w:t>
      </w:r>
      <w:proofErr w:type="spellEnd"/>
      <w:r w:rsidRPr="00041C1A">
        <w:rPr>
          <w:rFonts w:ascii="Arial" w:hAnsi="Arial" w:cs="Arial"/>
          <w:b w:val="0"/>
          <w:sz w:val="22"/>
          <w:szCs w:val="22"/>
        </w:rPr>
        <w:t>/</w:t>
      </w:r>
      <w:proofErr w:type="spellStart"/>
      <w:r w:rsidRPr="00041C1A">
        <w:rPr>
          <w:rFonts w:ascii="Arial" w:hAnsi="Arial" w:cs="Arial"/>
          <w:b w:val="0"/>
          <w:sz w:val="22"/>
          <w:szCs w:val="22"/>
        </w:rPr>
        <w:t>xZ</w:t>
      </w:r>
      <w:proofErr w:type="spellEnd"/>
      <w:r w:rsidRPr="00041C1A">
        <w:rPr>
          <w:rFonts w:ascii="Arial" w:hAnsi="Arial" w:cs="Arial"/>
          <w:b w:val="0"/>
          <w:sz w:val="22"/>
          <w:szCs w:val="22"/>
        </w:rPr>
        <w:t xml:space="preserve">/2013 ze dne </w:t>
      </w:r>
      <w:proofErr w:type="spellStart"/>
      <w:r w:rsidRPr="00041C1A">
        <w:rPr>
          <w:rFonts w:ascii="Arial" w:hAnsi="Arial" w:cs="Arial"/>
          <w:b w:val="0"/>
          <w:sz w:val="22"/>
          <w:szCs w:val="22"/>
        </w:rPr>
        <w:t>dd</w:t>
      </w:r>
      <w:proofErr w:type="spellEnd"/>
      <w:r w:rsidRPr="00041C1A">
        <w:rPr>
          <w:rFonts w:ascii="Arial" w:hAnsi="Arial" w:cs="Arial"/>
          <w:b w:val="0"/>
          <w:sz w:val="22"/>
          <w:szCs w:val="22"/>
        </w:rPr>
        <w:t xml:space="preserve">. mm. 2013 </w:t>
      </w:r>
      <w:r w:rsidRPr="00041C1A">
        <w:rPr>
          <w:rFonts w:ascii="Arial" w:hAnsi="Arial" w:cs="Arial"/>
          <w:sz w:val="22"/>
          <w:szCs w:val="22"/>
        </w:rPr>
        <w:t>schváleny Zásady pro používání finančních prostředků z Fondu vodního hospodářství Ústeckého kraje (dále jen „Zásady“). Smlouva se uzavírá v souladu s těmito Zásadami.</w:t>
      </w:r>
    </w:p>
    <w:p w:rsidR="005105E7" w:rsidRPr="00041C1A" w:rsidRDefault="005105E7" w:rsidP="005105E7">
      <w:pPr>
        <w:autoSpaceDE w:val="0"/>
        <w:autoSpaceDN w:val="0"/>
        <w:adjustRightInd w:val="0"/>
        <w:spacing w:before="240" w:after="120"/>
        <w:jc w:val="center"/>
        <w:outlineLvl w:val="0"/>
        <w:rPr>
          <w:rFonts w:ascii="Arial" w:hAnsi="Arial" w:cs="Arial"/>
          <w:b/>
          <w:bCs/>
          <w:color w:val="000000"/>
        </w:rPr>
      </w:pPr>
    </w:p>
    <w:p w:rsidR="005105E7" w:rsidRPr="00041C1A" w:rsidRDefault="005105E7" w:rsidP="005105E7">
      <w:pPr>
        <w:autoSpaceDE w:val="0"/>
        <w:autoSpaceDN w:val="0"/>
        <w:adjustRightInd w:val="0"/>
        <w:spacing w:before="240"/>
        <w:jc w:val="center"/>
        <w:outlineLvl w:val="0"/>
        <w:rPr>
          <w:rFonts w:ascii="Arial" w:hAnsi="Arial" w:cs="Arial"/>
          <w:b/>
          <w:bCs/>
          <w:color w:val="000000"/>
        </w:rPr>
      </w:pPr>
      <w:r w:rsidRPr="00041C1A">
        <w:rPr>
          <w:rFonts w:ascii="Arial" w:hAnsi="Arial" w:cs="Arial"/>
          <w:b/>
          <w:bCs/>
          <w:color w:val="000000"/>
        </w:rPr>
        <w:t>Článek I.</w:t>
      </w:r>
    </w:p>
    <w:p w:rsidR="005105E7" w:rsidRPr="00041C1A" w:rsidRDefault="005105E7" w:rsidP="005105E7">
      <w:pPr>
        <w:pStyle w:val="Zkladntext"/>
        <w:spacing w:after="120"/>
        <w:rPr>
          <w:rFonts w:ascii="Arial" w:hAnsi="Arial" w:cs="Arial"/>
          <w:b w:val="0"/>
          <w:bCs/>
          <w:sz w:val="22"/>
          <w:szCs w:val="22"/>
        </w:rPr>
      </w:pPr>
      <w:r w:rsidRPr="00041C1A">
        <w:rPr>
          <w:rFonts w:ascii="Arial" w:hAnsi="Arial" w:cs="Arial"/>
          <w:b w:val="0"/>
          <w:bCs/>
          <w:sz w:val="22"/>
          <w:szCs w:val="22"/>
        </w:rPr>
        <w:t>Poskytnutí dotace</w:t>
      </w:r>
    </w:p>
    <w:p w:rsidR="005105E7" w:rsidRPr="00041C1A" w:rsidRDefault="005105E7" w:rsidP="005105E7">
      <w:pPr>
        <w:numPr>
          <w:ilvl w:val="0"/>
          <w:numId w:val="10"/>
        </w:numPr>
        <w:spacing w:after="120" w:line="80" w:lineRule="atLeast"/>
        <w:ind w:left="426" w:hanging="426"/>
        <w:jc w:val="both"/>
        <w:rPr>
          <w:rFonts w:ascii="Arial" w:hAnsi="Arial" w:cs="Arial"/>
          <w:sz w:val="22"/>
          <w:szCs w:val="22"/>
        </w:rPr>
      </w:pPr>
      <w:r w:rsidRPr="00041C1A">
        <w:rPr>
          <w:rFonts w:ascii="Arial" w:hAnsi="Arial" w:cs="Arial"/>
          <w:b/>
          <w:bCs/>
          <w:sz w:val="22"/>
          <w:szCs w:val="22"/>
        </w:rPr>
        <w:t>Poskytovatel</w:t>
      </w:r>
      <w:r w:rsidRPr="00041C1A">
        <w:rPr>
          <w:rFonts w:ascii="Arial" w:hAnsi="Arial" w:cs="Arial"/>
          <w:sz w:val="22"/>
          <w:szCs w:val="22"/>
        </w:rPr>
        <w:t xml:space="preserve"> poskytuje na základě usnesení ………… č. ….. ze dne …….investiční dotaci ve výši ………….,- Kč (slovy: ……..korun českých),  která bude převedena bezhotovostně na účet příjemce, </w:t>
      </w:r>
      <w:r w:rsidRPr="00041C1A">
        <w:rPr>
          <w:rFonts w:ascii="Arial" w:hAnsi="Arial" w:cs="Arial"/>
          <w:b/>
          <w:sz w:val="22"/>
          <w:szCs w:val="22"/>
        </w:rPr>
        <w:t>za podmínky že ji příjemce stanoveným způsobem použije nejpozději do data uvedeného v čl. II odst. 4)</w:t>
      </w:r>
      <w:r w:rsidRPr="00041C1A">
        <w:rPr>
          <w:rFonts w:ascii="Arial" w:hAnsi="Arial" w:cs="Arial"/>
          <w:sz w:val="22"/>
          <w:szCs w:val="22"/>
        </w:rPr>
        <w:t>.</w:t>
      </w:r>
    </w:p>
    <w:p w:rsidR="005105E7" w:rsidRPr="00041C1A" w:rsidRDefault="005105E7" w:rsidP="005105E7">
      <w:pPr>
        <w:numPr>
          <w:ilvl w:val="0"/>
          <w:numId w:val="10"/>
        </w:numPr>
        <w:spacing w:before="120" w:line="80" w:lineRule="atLeast"/>
        <w:ind w:left="426" w:hanging="426"/>
        <w:jc w:val="both"/>
        <w:outlineLvl w:val="0"/>
        <w:rPr>
          <w:rFonts w:ascii="Arial" w:hAnsi="Arial" w:cs="Arial"/>
          <w:sz w:val="22"/>
          <w:szCs w:val="22"/>
        </w:rPr>
      </w:pPr>
      <w:r w:rsidRPr="005F2FE6">
        <w:rPr>
          <w:rFonts w:ascii="Arial" w:hAnsi="Arial" w:cs="Arial"/>
          <w:b/>
          <w:sz w:val="22"/>
          <w:szCs w:val="22"/>
        </w:rPr>
        <w:t xml:space="preserve">Varianta pro de </w:t>
      </w:r>
      <w:proofErr w:type="spellStart"/>
      <w:r w:rsidRPr="005F2FE6">
        <w:rPr>
          <w:rFonts w:ascii="Arial" w:hAnsi="Arial" w:cs="Arial"/>
          <w:b/>
          <w:sz w:val="22"/>
          <w:szCs w:val="22"/>
        </w:rPr>
        <w:t>minimis</w:t>
      </w:r>
      <w:proofErr w:type="spellEnd"/>
      <w:r w:rsidRPr="00041C1A">
        <w:rPr>
          <w:rFonts w:ascii="Arial" w:hAnsi="Arial" w:cs="Arial"/>
          <w:sz w:val="22"/>
          <w:szCs w:val="22"/>
        </w:rPr>
        <w:t xml:space="preserve">: Dotace je poskytována za využití pravidla „de </w:t>
      </w:r>
      <w:proofErr w:type="spellStart"/>
      <w:r w:rsidRPr="00041C1A">
        <w:rPr>
          <w:rFonts w:ascii="Arial" w:hAnsi="Arial" w:cs="Arial"/>
          <w:sz w:val="22"/>
          <w:szCs w:val="22"/>
        </w:rPr>
        <w:t>minimis</w:t>
      </w:r>
      <w:proofErr w:type="spellEnd"/>
      <w:r w:rsidRPr="00041C1A">
        <w:rPr>
          <w:rFonts w:ascii="Arial" w:hAnsi="Arial" w:cs="Arial"/>
          <w:sz w:val="22"/>
          <w:szCs w:val="22"/>
        </w:rPr>
        <w:t>“ ve smyslu Nařízení Komise č. 1998/2006, o použití čl. 87 a 88</w:t>
      </w:r>
      <w:r w:rsidRPr="00041C1A">
        <w:rPr>
          <w:rFonts w:ascii="Arial" w:hAnsi="Arial" w:cs="Arial"/>
          <w:b/>
          <w:sz w:val="22"/>
          <w:szCs w:val="22"/>
        </w:rPr>
        <w:t xml:space="preserve"> </w:t>
      </w:r>
      <w:r w:rsidRPr="00041C1A">
        <w:rPr>
          <w:rFonts w:ascii="Arial" w:hAnsi="Arial" w:cs="Arial"/>
          <w:sz w:val="22"/>
          <w:szCs w:val="22"/>
        </w:rPr>
        <w:t xml:space="preserve">Smlouvy na podporu de </w:t>
      </w:r>
      <w:proofErr w:type="spellStart"/>
      <w:r w:rsidRPr="00041C1A">
        <w:rPr>
          <w:rFonts w:ascii="Arial" w:hAnsi="Arial" w:cs="Arial"/>
          <w:sz w:val="22"/>
          <w:szCs w:val="22"/>
        </w:rPr>
        <w:t>minimis</w:t>
      </w:r>
      <w:proofErr w:type="spellEnd"/>
      <w:r w:rsidRPr="00041C1A">
        <w:rPr>
          <w:rFonts w:ascii="Arial" w:hAnsi="Arial" w:cs="Arial"/>
          <w:sz w:val="22"/>
          <w:szCs w:val="22"/>
        </w:rPr>
        <w:t xml:space="preserve"> zveřejněného v Úředním věstníku Evropské unie L379, 15.12.2006, s.5. Poskytovatel uzavírá tuto smlouvu na základě následujícího prohlášení příjemce.</w:t>
      </w:r>
    </w:p>
    <w:p w:rsidR="005105E7" w:rsidRDefault="005105E7" w:rsidP="005105E7">
      <w:pPr>
        <w:spacing w:after="120" w:line="80" w:lineRule="atLeast"/>
        <w:ind w:left="426" w:hanging="426"/>
        <w:jc w:val="both"/>
        <w:outlineLvl w:val="0"/>
        <w:rPr>
          <w:rFonts w:ascii="Arial" w:hAnsi="Arial" w:cs="Arial"/>
          <w:sz w:val="22"/>
          <w:szCs w:val="22"/>
        </w:rPr>
      </w:pPr>
      <w:r w:rsidRPr="00041C1A">
        <w:rPr>
          <w:rFonts w:ascii="Arial" w:hAnsi="Arial" w:cs="Arial"/>
          <w:sz w:val="22"/>
          <w:szCs w:val="22"/>
        </w:rPr>
        <w:tab/>
        <w:t xml:space="preserve">Příjemce prohlašuje, že ke dni uzavření této smlouvy se nezměnily okolnosti týkající se příjemcem přijatých podpor de </w:t>
      </w:r>
      <w:proofErr w:type="spellStart"/>
      <w:r w:rsidRPr="00041C1A">
        <w:rPr>
          <w:rFonts w:ascii="Arial" w:hAnsi="Arial" w:cs="Arial"/>
          <w:sz w:val="22"/>
          <w:szCs w:val="22"/>
        </w:rPr>
        <w:t>minimis</w:t>
      </w:r>
      <w:proofErr w:type="spellEnd"/>
      <w:r w:rsidRPr="00041C1A">
        <w:rPr>
          <w:rFonts w:ascii="Arial" w:hAnsi="Arial" w:cs="Arial"/>
          <w:sz w:val="22"/>
          <w:szCs w:val="22"/>
        </w:rPr>
        <w:t xml:space="preserve">, jenž příjemce uvedl ve formuláři </w:t>
      </w:r>
      <w:r>
        <w:rPr>
          <w:rFonts w:ascii="Arial" w:hAnsi="Arial" w:cs="Arial"/>
          <w:sz w:val="22"/>
          <w:szCs w:val="22"/>
        </w:rPr>
        <w:t xml:space="preserve">čestného prohlášení přiloženého nedílně k </w:t>
      </w:r>
      <w:r w:rsidRPr="00041C1A">
        <w:rPr>
          <w:rFonts w:ascii="Arial" w:hAnsi="Arial" w:cs="Arial"/>
          <w:sz w:val="22"/>
          <w:szCs w:val="22"/>
        </w:rPr>
        <w:t>žádosti o dotaci.</w:t>
      </w:r>
    </w:p>
    <w:p w:rsidR="005105E7" w:rsidRDefault="005105E7" w:rsidP="005105E7">
      <w:pPr>
        <w:spacing w:after="120" w:line="80" w:lineRule="atLeast"/>
        <w:ind w:left="426"/>
        <w:jc w:val="both"/>
        <w:outlineLvl w:val="0"/>
        <w:rPr>
          <w:rFonts w:ascii="Arial" w:hAnsi="Arial" w:cs="Arial"/>
          <w:sz w:val="22"/>
          <w:szCs w:val="22"/>
        </w:rPr>
      </w:pPr>
      <w:r w:rsidRPr="005F2FE6">
        <w:rPr>
          <w:rFonts w:ascii="Arial" w:hAnsi="Arial" w:cs="Arial"/>
          <w:b/>
          <w:sz w:val="22"/>
          <w:szCs w:val="22"/>
        </w:rPr>
        <w:t>Varianta bez veřejné podpory</w:t>
      </w:r>
      <w:r>
        <w:rPr>
          <w:rFonts w:ascii="Arial" w:hAnsi="Arial" w:cs="Arial"/>
          <w:sz w:val="22"/>
          <w:szCs w:val="22"/>
        </w:rPr>
        <w:t xml:space="preserve">: dotace nezakládá veřejnou podporu ve smyslu čl. 107 </w:t>
      </w:r>
      <w:r w:rsidRPr="00881784">
        <w:rPr>
          <w:rFonts w:ascii="Arial" w:hAnsi="Arial" w:cs="Arial"/>
          <w:i/>
          <w:sz w:val="22"/>
          <w:szCs w:val="22"/>
        </w:rPr>
        <w:t>Smlouvy o fungování Evropské unie (Smlouva o založení Evropského společenství).</w:t>
      </w:r>
    </w:p>
    <w:p w:rsidR="005105E7" w:rsidRPr="00041C1A" w:rsidRDefault="005105E7" w:rsidP="005105E7">
      <w:pPr>
        <w:spacing w:after="120" w:line="80" w:lineRule="atLeast"/>
        <w:ind w:left="426" w:hanging="426"/>
        <w:jc w:val="both"/>
        <w:outlineLvl w:val="0"/>
        <w:rPr>
          <w:rFonts w:ascii="Arial" w:hAnsi="Arial" w:cs="Arial"/>
          <w:sz w:val="22"/>
          <w:szCs w:val="22"/>
        </w:rPr>
      </w:pPr>
    </w:p>
    <w:p w:rsidR="005105E7" w:rsidRPr="00041C1A" w:rsidRDefault="005105E7" w:rsidP="005105E7">
      <w:pPr>
        <w:autoSpaceDE w:val="0"/>
        <w:autoSpaceDN w:val="0"/>
        <w:adjustRightInd w:val="0"/>
        <w:spacing w:before="240"/>
        <w:ind w:left="426" w:hanging="426"/>
        <w:jc w:val="center"/>
        <w:outlineLvl w:val="0"/>
        <w:rPr>
          <w:rFonts w:ascii="Arial" w:hAnsi="Arial" w:cs="Arial"/>
          <w:b/>
          <w:bCs/>
          <w:color w:val="000000"/>
        </w:rPr>
      </w:pPr>
      <w:r w:rsidRPr="00041C1A">
        <w:rPr>
          <w:rFonts w:ascii="Arial" w:hAnsi="Arial" w:cs="Arial"/>
          <w:b/>
          <w:bCs/>
          <w:color w:val="000000"/>
        </w:rPr>
        <w:t>Článek II.</w:t>
      </w:r>
    </w:p>
    <w:p w:rsidR="005105E7" w:rsidRPr="00041C1A" w:rsidRDefault="005105E7" w:rsidP="005105E7">
      <w:pPr>
        <w:pStyle w:val="Zkladntext"/>
        <w:spacing w:after="120"/>
        <w:ind w:left="426" w:hanging="426"/>
        <w:rPr>
          <w:rFonts w:ascii="Arial" w:hAnsi="Arial" w:cs="Arial"/>
          <w:b w:val="0"/>
          <w:bCs/>
          <w:sz w:val="22"/>
          <w:szCs w:val="22"/>
        </w:rPr>
      </w:pPr>
      <w:r w:rsidRPr="00041C1A">
        <w:rPr>
          <w:rFonts w:ascii="Arial" w:hAnsi="Arial" w:cs="Arial"/>
          <w:b w:val="0"/>
          <w:bCs/>
          <w:sz w:val="22"/>
          <w:szCs w:val="22"/>
        </w:rPr>
        <w:t>Financování</w:t>
      </w:r>
    </w:p>
    <w:p w:rsidR="005105E7" w:rsidRPr="00041C1A" w:rsidRDefault="005105E7" w:rsidP="005105E7">
      <w:pPr>
        <w:numPr>
          <w:ilvl w:val="0"/>
          <w:numId w:val="4"/>
        </w:numPr>
        <w:overflowPunct w:val="0"/>
        <w:autoSpaceDE w:val="0"/>
        <w:autoSpaceDN w:val="0"/>
        <w:adjustRightInd w:val="0"/>
        <w:spacing w:after="60"/>
        <w:ind w:left="426" w:hanging="426"/>
        <w:jc w:val="both"/>
        <w:textAlignment w:val="baseline"/>
        <w:rPr>
          <w:rFonts w:ascii="Arial" w:hAnsi="Arial" w:cs="Arial"/>
          <w:sz w:val="22"/>
          <w:szCs w:val="22"/>
        </w:rPr>
      </w:pPr>
      <w:r w:rsidRPr="00041C1A">
        <w:rPr>
          <w:rFonts w:ascii="Arial" w:hAnsi="Arial" w:cs="Arial"/>
          <w:sz w:val="22"/>
          <w:szCs w:val="22"/>
        </w:rPr>
        <w:t>Dotace je přidělena za účelem realizace předloženého projektu ..................................... v rámci Zásad pro používání finančních prostředků z Fondu vodního hospodářství Ústeckého kraje a poskytovatelem odsouhlaseného rozpočtu všech plánovaných příjmů a výdajů (dále jen „plánovaný nákladový rozpočet“) a to v rozsahu v něm uvedeného procentuálního podílu dotace na úhradě plánovaných uznatelných nákladů za dodržení druhového členění (dále jen „procentuální účelové určení prostředků“). Plánovaný nákladový rozpočet včetně harmonogramu příjmů a plateb předložených příjemcem v projektu je nedílnou součástí této smlouvy jako její příloha č. 2.</w:t>
      </w:r>
    </w:p>
    <w:p w:rsidR="005105E7" w:rsidRPr="00041C1A" w:rsidRDefault="005105E7" w:rsidP="005105E7">
      <w:pPr>
        <w:numPr>
          <w:ilvl w:val="0"/>
          <w:numId w:val="4"/>
        </w:numPr>
        <w:overflowPunct w:val="0"/>
        <w:autoSpaceDE w:val="0"/>
        <w:autoSpaceDN w:val="0"/>
        <w:adjustRightInd w:val="0"/>
        <w:spacing w:after="120"/>
        <w:ind w:left="426" w:hanging="426"/>
        <w:jc w:val="both"/>
        <w:textAlignment w:val="baseline"/>
        <w:rPr>
          <w:rFonts w:ascii="Arial" w:hAnsi="Arial" w:cs="Arial"/>
          <w:i/>
          <w:sz w:val="22"/>
          <w:szCs w:val="22"/>
        </w:rPr>
      </w:pPr>
      <w:r w:rsidRPr="00041C1A">
        <w:rPr>
          <w:rFonts w:ascii="Arial" w:hAnsi="Arial" w:cs="Arial"/>
          <w:sz w:val="22"/>
          <w:szCs w:val="22"/>
        </w:rPr>
        <w:t xml:space="preserve">V plánovaném nákladovém rozpočtu, který je přílohou této smlouvy, se za neuznatelný náklad označují následující náklady: </w:t>
      </w:r>
      <w:r w:rsidRPr="00041C1A">
        <w:rPr>
          <w:rFonts w:ascii="Arial" w:hAnsi="Arial" w:cs="Arial"/>
          <w:i/>
          <w:sz w:val="22"/>
          <w:szCs w:val="22"/>
        </w:rPr>
        <w:t>………………………………/nebyly za neuznatelné náklady označeny žádné náklady.</w:t>
      </w:r>
    </w:p>
    <w:p w:rsidR="005105E7" w:rsidRPr="00041C1A" w:rsidRDefault="005105E7" w:rsidP="005105E7">
      <w:pPr>
        <w:numPr>
          <w:ilvl w:val="0"/>
          <w:numId w:val="4"/>
        </w:numPr>
        <w:overflowPunct w:val="0"/>
        <w:autoSpaceDE w:val="0"/>
        <w:autoSpaceDN w:val="0"/>
        <w:adjustRightInd w:val="0"/>
        <w:spacing w:after="120"/>
        <w:ind w:left="426" w:hanging="426"/>
        <w:jc w:val="both"/>
        <w:textAlignment w:val="baseline"/>
        <w:rPr>
          <w:rFonts w:ascii="Arial" w:hAnsi="Arial" w:cs="Arial"/>
          <w:sz w:val="22"/>
          <w:szCs w:val="22"/>
        </w:rPr>
      </w:pPr>
      <w:r w:rsidRPr="00041C1A">
        <w:rPr>
          <w:rFonts w:ascii="Arial" w:hAnsi="Arial" w:cs="Arial"/>
          <w:sz w:val="22"/>
          <w:szCs w:val="22"/>
        </w:rPr>
        <w:t xml:space="preserve">Termínem ukončení realizace projektu je den splnění závazného technického ukazatele dle čl. II. odst. 7), nejpozději do….. . </w:t>
      </w:r>
    </w:p>
    <w:p w:rsidR="005105E7" w:rsidRPr="00041C1A" w:rsidRDefault="005105E7" w:rsidP="005105E7">
      <w:pPr>
        <w:numPr>
          <w:ilvl w:val="0"/>
          <w:numId w:val="4"/>
        </w:numPr>
        <w:tabs>
          <w:tab w:val="left" w:pos="426"/>
        </w:tabs>
        <w:overflowPunct w:val="0"/>
        <w:autoSpaceDE w:val="0"/>
        <w:autoSpaceDN w:val="0"/>
        <w:adjustRightInd w:val="0"/>
        <w:ind w:left="426" w:hanging="426"/>
        <w:jc w:val="both"/>
        <w:textAlignment w:val="baseline"/>
        <w:rPr>
          <w:rFonts w:ascii="Arial" w:hAnsi="Arial" w:cs="Arial"/>
          <w:sz w:val="22"/>
          <w:szCs w:val="22"/>
        </w:rPr>
      </w:pPr>
      <w:r w:rsidRPr="00041C1A">
        <w:rPr>
          <w:rFonts w:ascii="Arial" w:hAnsi="Arial" w:cs="Arial"/>
          <w:sz w:val="22"/>
          <w:szCs w:val="22"/>
        </w:rPr>
        <w:t>Dotace je poskytnuta účelově (viz čl. II. bod 1)) a lze ji použít pouze na úhradu uznatelných nákladů přímo souvisejících s realizací projektu a vzniklých v době do ukončení realizace projektu.</w:t>
      </w:r>
      <w:r w:rsidRPr="00041C1A">
        <w:rPr>
          <w:rFonts w:ascii="Arial" w:hAnsi="Arial" w:cs="Arial"/>
          <w:b/>
          <w:sz w:val="22"/>
          <w:szCs w:val="22"/>
        </w:rPr>
        <w:t xml:space="preserve"> </w:t>
      </w:r>
      <w:r w:rsidRPr="00041C1A">
        <w:rPr>
          <w:rFonts w:ascii="Arial" w:hAnsi="Arial" w:cs="Arial"/>
          <w:sz w:val="22"/>
          <w:szCs w:val="22"/>
        </w:rPr>
        <w:t>Datem účinnosti uznatelných nákladů je …… .</w:t>
      </w:r>
    </w:p>
    <w:p w:rsidR="005105E7" w:rsidRPr="00041C1A" w:rsidRDefault="005105E7" w:rsidP="005105E7">
      <w:pPr>
        <w:tabs>
          <w:tab w:val="left" w:pos="720"/>
        </w:tabs>
        <w:overflowPunct w:val="0"/>
        <w:autoSpaceDE w:val="0"/>
        <w:autoSpaceDN w:val="0"/>
        <w:adjustRightInd w:val="0"/>
        <w:spacing w:before="120" w:after="120"/>
        <w:ind w:left="720" w:hanging="294"/>
        <w:jc w:val="both"/>
        <w:textAlignment w:val="baseline"/>
        <w:rPr>
          <w:rFonts w:ascii="Arial" w:hAnsi="Arial" w:cs="Arial"/>
          <w:sz w:val="22"/>
          <w:szCs w:val="22"/>
        </w:rPr>
      </w:pPr>
      <w:r w:rsidRPr="00041C1A">
        <w:rPr>
          <w:rFonts w:ascii="Arial" w:hAnsi="Arial" w:cs="Arial"/>
          <w:b/>
          <w:sz w:val="22"/>
          <w:szCs w:val="22"/>
        </w:rPr>
        <w:t xml:space="preserve">Uznatelný náklad </w:t>
      </w:r>
      <w:r w:rsidRPr="00041C1A">
        <w:rPr>
          <w:rFonts w:ascii="Arial" w:hAnsi="Arial" w:cs="Arial"/>
          <w:sz w:val="22"/>
          <w:szCs w:val="22"/>
        </w:rPr>
        <w:t>je nezbytný náklad, který splňuje všechny následující podmínky:</w:t>
      </w:r>
    </w:p>
    <w:p w:rsidR="005105E7" w:rsidRPr="00041C1A" w:rsidRDefault="005105E7" w:rsidP="005105E7">
      <w:pPr>
        <w:numPr>
          <w:ilvl w:val="1"/>
          <w:numId w:val="8"/>
        </w:numPr>
        <w:tabs>
          <w:tab w:val="clear" w:pos="1081"/>
          <w:tab w:val="num" w:pos="851"/>
        </w:tabs>
        <w:overflowPunct w:val="0"/>
        <w:autoSpaceDE w:val="0"/>
        <w:autoSpaceDN w:val="0"/>
        <w:adjustRightInd w:val="0"/>
        <w:spacing w:before="120"/>
        <w:ind w:left="851" w:hanging="425"/>
        <w:jc w:val="both"/>
        <w:textAlignment w:val="baseline"/>
        <w:rPr>
          <w:rFonts w:ascii="Arial" w:hAnsi="Arial" w:cs="Arial"/>
          <w:sz w:val="22"/>
          <w:szCs w:val="22"/>
        </w:rPr>
      </w:pPr>
      <w:r w:rsidRPr="00041C1A">
        <w:rPr>
          <w:rFonts w:ascii="Arial" w:hAnsi="Arial" w:cs="Arial"/>
          <w:sz w:val="22"/>
          <w:szCs w:val="22"/>
        </w:rPr>
        <w:t>vyhovuje zásadám efektivnosti, účelnosti a hospodárnosti,</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vznikl příjemci v přímé souvislosti s prováděním projektu ve schváleném období realizace,</w:t>
      </w:r>
    </w:p>
    <w:p w:rsidR="005105E7" w:rsidRPr="00041C1A" w:rsidRDefault="005105E7" w:rsidP="005105E7">
      <w:pPr>
        <w:numPr>
          <w:ilvl w:val="1"/>
          <w:numId w:val="8"/>
        </w:numPr>
        <w:tabs>
          <w:tab w:val="clear" w:pos="1081"/>
          <w:tab w:val="num"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byl uhrazen do konce realizace projektu dle odst. 3) tohoto článku,</w:t>
      </w:r>
    </w:p>
    <w:p w:rsidR="005105E7" w:rsidRPr="00041C1A" w:rsidRDefault="005105E7" w:rsidP="005105E7">
      <w:pPr>
        <w:numPr>
          <w:ilvl w:val="1"/>
          <w:numId w:val="8"/>
        </w:numPr>
        <w:tabs>
          <w:tab w:val="clear" w:pos="1081"/>
          <w:tab w:val="num" w:pos="851"/>
        </w:tabs>
        <w:overflowPunct w:val="0"/>
        <w:autoSpaceDE w:val="0"/>
        <w:autoSpaceDN w:val="0"/>
        <w:adjustRightInd w:val="0"/>
        <w:spacing w:after="120"/>
        <w:ind w:left="851" w:hanging="425"/>
        <w:jc w:val="both"/>
        <w:textAlignment w:val="baseline"/>
        <w:rPr>
          <w:rFonts w:ascii="Arial" w:hAnsi="Arial" w:cs="Arial"/>
          <w:sz w:val="22"/>
          <w:szCs w:val="22"/>
        </w:rPr>
      </w:pPr>
      <w:r w:rsidRPr="00041C1A">
        <w:rPr>
          <w:rFonts w:ascii="Arial" w:hAnsi="Arial" w:cs="Arial"/>
          <w:sz w:val="22"/>
          <w:szCs w:val="22"/>
        </w:rPr>
        <w:t>byl skutečně vynaložen a zachycen v účetnictví příjemce na jeho účetních dokladech, je identifikovatelný, ověřitelný a podložený prvotními podpůrnými doklady.</w:t>
      </w:r>
    </w:p>
    <w:p w:rsidR="005105E7" w:rsidRPr="00041C1A" w:rsidRDefault="005105E7" w:rsidP="005105E7">
      <w:pPr>
        <w:tabs>
          <w:tab w:val="left" w:pos="720"/>
        </w:tabs>
        <w:overflowPunct w:val="0"/>
        <w:autoSpaceDE w:val="0"/>
        <w:autoSpaceDN w:val="0"/>
        <w:adjustRightInd w:val="0"/>
        <w:spacing w:before="240" w:after="120"/>
        <w:ind w:firstLine="426"/>
        <w:jc w:val="both"/>
        <w:textAlignment w:val="baseline"/>
        <w:rPr>
          <w:rFonts w:ascii="Arial" w:hAnsi="Arial" w:cs="Arial"/>
          <w:sz w:val="22"/>
          <w:szCs w:val="22"/>
        </w:rPr>
      </w:pPr>
      <w:r w:rsidRPr="00041C1A">
        <w:rPr>
          <w:rFonts w:ascii="Arial" w:hAnsi="Arial" w:cs="Arial"/>
          <w:b/>
          <w:sz w:val="22"/>
          <w:szCs w:val="22"/>
        </w:rPr>
        <w:t>Neuznatelný náklad</w:t>
      </w:r>
      <w:r w:rsidRPr="00041C1A">
        <w:rPr>
          <w:rFonts w:ascii="Arial" w:hAnsi="Arial" w:cs="Arial"/>
          <w:sz w:val="22"/>
          <w:szCs w:val="22"/>
        </w:rPr>
        <w:t xml:space="preserve"> je náklad na:</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pořízení dlouhodobého a krátkodobého finančního majetku,</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dlužný úrok,</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opatření pro možné budoucí ztráty nebo dluhy,</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lastRenderedPageBreak/>
        <w:t>nákupy pozemků a budov,</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rekonstrukce a opravy nemovitostí,</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ztráty z devizových kurzů,</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občerstvení a reprezentativní pohoštění,</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nájemné s následnou koupí (leasing),</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cestovné nad rámec zákona č. 262/2006 Sb., zákoník práce, ve znění pozdějších předpisů, pro zaměstnavatele, který je uveden v § 109 odst. 3 tohoto právního předpisu,</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mzdy včetně odvodů nad rámec platových předpisů pro zaměstnance ve veřejných službách a správě,</w:t>
      </w:r>
    </w:p>
    <w:p w:rsidR="005105E7" w:rsidRPr="00041C1A" w:rsidRDefault="005105E7" w:rsidP="005105E7">
      <w:pPr>
        <w:numPr>
          <w:ilvl w:val="1"/>
          <w:numId w:val="8"/>
        </w:numPr>
        <w:tabs>
          <w:tab w:val="clear" w:pos="1081"/>
          <w:tab w:val="left" w:pos="851"/>
        </w:tabs>
        <w:overflowPunct w:val="0"/>
        <w:autoSpaceDE w:val="0"/>
        <w:autoSpaceDN w:val="0"/>
        <w:adjustRightInd w:val="0"/>
        <w:ind w:left="851" w:hanging="425"/>
        <w:jc w:val="both"/>
        <w:textAlignment w:val="baseline"/>
        <w:rPr>
          <w:rFonts w:ascii="Arial" w:hAnsi="Arial" w:cs="Arial"/>
          <w:sz w:val="22"/>
          <w:szCs w:val="22"/>
        </w:rPr>
      </w:pPr>
      <w:r w:rsidRPr="00041C1A">
        <w:rPr>
          <w:rFonts w:ascii="Arial" w:hAnsi="Arial" w:cs="Arial"/>
          <w:sz w:val="22"/>
          <w:szCs w:val="22"/>
        </w:rPr>
        <w:t>náhrady mzdy za dobu nepřítomnosti (dovolená, nepřítomnost, nemoc).</w:t>
      </w:r>
    </w:p>
    <w:p w:rsidR="005105E7" w:rsidRPr="00041C1A" w:rsidRDefault="005105E7" w:rsidP="005105E7">
      <w:pPr>
        <w:numPr>
          <w:ilvl w:val="0"/>
          <w:numId w:val="9"/>
        </w:numPr>
        <w:overflowPunct w:val="0"/>
        <w:autoSpaceDE w:val="0"/>
        <w:autoSpaceDN w:val="0"/>
        <w:adjustRightInd w:val="0"/>
        <w:spacing w:before="120" w:after="120"/>
        <w:jc w:val="both"/>
        <w:textAlignment w:val="baseline"/>
        <w:rPr>
          <w:rFonts w:ascii="Arial" w:hAnsi="Arial" w:cs="Arial"/>
          <w:sz w:val="22"/>
          <w:szCs w:val="22"/>
        </w:rPr>
      </w:pPr>
      <w:r w:rsidRPr="00041C1A">
        <w:rPr>
          <w:rFonts w:ascii="Arial" w:hAnsi="Arial" w:cs="Arial"/>
          <w:sz w:val="22"/>
          <w:szCs w:val="22"/>
        </w:rPr>
        <w:t>Dotace bude poskytnuta ve splátkách na základě předložení prokázaných výdajů (realizovaných částí)  projektu v procentuální výši stanovené smlouvou dle odst. 6) písm. a) tohoto článku. Položkový rozpis faktur musí odpovídat plánovanému nákladovému rozpočtu.</w:t>
      </w:r>
    </w:p>
    <w:p w:rsidR="005105E7" w:rsidRPr="00041C1A" w:rsidRDefault="005105E7" w:rsidP="005105E7">
      <w:pPr>
        <w:numPr>
          <w:ilvl w:val="0"/>
          <w:numId w:val="9"/>
        </w:numPr>
        <w:overflowPunct w:val="0"/>
        <w:autoSpaceDE w:val="0"/>
        <w:autoSpaceDN w:val="0"/>
        <w:adjustRightInd w:val="0"/>
        <w:spacing w:before="120" w:after="120"/>
        <w:jc w:val="both"/>
        <w:textAlignment w:val="baseline"/>
        <w:rPr>
          <w:rFonts w:ascii="Arial" w:hAnsi="Arial" w:cs="Arial"/>
          <w:sz w:val="22"/>
          <w:szCs w:val="22"/>
        </w:rPr>
      </w:pPr>
      <w:r w:rsidRPr="00041C1A">
        <w:rPr>
          <w:rFonts w:ascii="Arial" w:hAnsi="Arial" w:cs="Arial"/>
          <w:sz w:val="22"/>
          <w:szCs w:val="22"/>
        </w:rPr>
        <w:t>Jako závazný finanční ukazatel byl stanoven:</w:t>
      </w:r>
    </w:p>
    <w:p w:rsidR="005105E7" w:rsidRPr="00041C1A" w:rsidRDefault="005105E7" w:rsidP="005105E7">
      <w:pPr>
        <w:pStyle w:val="Odstavecseseznamem"/>
        <w:numPr>
          <w:ilvl w:val="1"/>
          <w:numId w:val="9"/>
        </w:numPr>
        <w:overflowPunct w:val="0"/>
        <w:autoSpaceDE w:val="0"/>
        <w:autoSpaceDN w:val="0"/>
        <w:adjustRightInd w:val="0"/>
        <w:spacing w:after="480"/>
        <w:contextualSpacing/>
        <w:jc w:val="both"/>
        <w:textAlignment w:val="baseline"/>
        <w:rPr>
          <w:rFonts w:ascii="Arial" w:hAnsi="Arial" w:cs="Arial"/>
          <w:sz w:val="22"/>
          <w:szCs w:val="22"/>
        </w:rPr>
      </w:pPr>
      <w:r w:rsidRPr="00041C1A">
        <w:rPr>
          <w:rFonts w:ascii="Arial" w:hAnsi="Arial" w:cs="Arial"/>
          <w:sz w:val="22"/>
          <w:szCs w:val="22"/>
        </w:rPr>
        <w:t>podíl dotace na celkových plánovaných uznatelných nákladech projektu v maximální výši ………….%, maximálně však do výše přiznané dotace. Závazný finanční ukazatel musí být dodržen ve vztahu k celkovým uznatelným nákladům projektu za dodržení druhového členění plánovaného nákladového rozpočtu,</w:t>
      </w:r>
    </w:p>
    <w:p w:rsidR="005105E7" w:rsidRPr="00041C1A" w:rsidRDefault="005105E7" w:rsidP="005105E7">
      <w:pPr>
        <w:pStyle w:val="Odstavecseseznamem"/>
        <w:numPr>
          <w:ilvl w:val="1"/>
          <w:numId w:val="9"/>
        </w:numPr>
        <w:overflowPunct w:val="0"/>
        <w:autoSpaceDE w:val="0"/>
        <w:autoSpaceDN w:val="0"/>
        <w:adjustRightInd w:val="0"/>
        <w:spacing w:before="120" w:after="120"/>
        <w:contextualSpacing/>
        <w:jc w:val="both"/>
        <w:textAlignment w:val="baseline"/>
        <w:rPr>
          <w:rFonts w:ascii="Arial" w:hAnsi="Arial" w:cs="Arial"/>
          <w:sz w:val="22"/>
          <w:szCs w:val="22"/>
        </w:rPr>
      </w:pPr>
      <w:r w:rsidRPr="00041C1A">
        <w:rPr>
          <w:rFonts w:ascii="Arial" w:hAnsi="Arial" w:cs="Arial"/>
          <w:sz w:val="22"/>
          <w:szCs w:val="22"/>
        </w:rPr>
        <w:t>u víceletých projektů dodržení harmonogramu čerpání finančních prostředků v letech uvedených v návrhu projektu: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4395"/>
      </w:tblGrid>
      <w:tr w:rsidR="005105E7" w:rsidRPr="00041C1A" w:rsidTr="00D07EA7">
        <w:tc>
          <w:tcPr>
            <w:tcW w:w="3612" w:type="dxa"/>
            <w:vAlign w:val="center"/>
          </w:tcPr>
          <w:p w:rsidR="005105E7" w:rsidRPr="00041C1A" w:rsidRDefault="005105E7" w:rsidP="00D07EA7">
            <w:pPr>
              <w:pStyle w:val="Odstavecseseznamem"/>
              <w:overflowPunct w:val="0"/>
              <w:autoSpaceDE w:val="0"/>
              <w:autoSpaceDN w:val="0"/>
              <w:adjustRightInd w:val="0"/>
              <w:spacing w:before="120" w:after="160"/>
              <w:ind w:left="0"/>
              <w:jc w:val="center"/>
              <w:textAlignment w:val="baseline"/>
              <w:rPr>
                <w:rFonts w:ascii="Arial" w:hAnsi="Arial" w:cs="Arial"/>
              </w:rPr>
            </w:pPr>
            <w:r w:rsidRPr="00041C1A">
              <w:rPr>
                <w:rFonts w:ascii="Arial" w:hAnsi="Arial" w:cs="Arial"/>
                <w:sz w:val="22"/>
                <w:szCs w:val="22"/>
              </w:rPr>
              <w:t>Rok</w:t>
            </w:r>
          </w:p>
        </w:tc>
        <w:tc>
          <w:tcPr>
            <w:tcW w:w="4395" w:type="dxa"/>
            <w:vAlign w:val="center"/>
          </w:tcPr>
          <w:p w:rsidR="005105E7" w:rsidRPr="00041C1A" w:rsidRDefault="005105E7" w:rsidP="00D07EA7">
            <w:pPr>
              <w:pStyle w:val="Odstavecseseznamem"/>
              <w:overflowPunct w:val="0"/>
              <w:autoSpaceDE w:val="0"/>
              <w:autoSpaceDN w:val="0"/>
              <w:adjustRightInd w:val="0"/>
              <w:spacing w:after="160"/>
              <w:ind w:left="0"/>
              <w:jc w:val="center"/>
              <w:textAlignment w:val="baseline"/>
              <w:rPr>
                <w:rFonts w:ascii="Arial" w:hAnsi="Arial" w:cs="Arial"/>
              </w:rPr>
            </w:pPr>
            <w:r w:rsidRPr="00041C1A">
              <w:rPr>
                <w:rFonts w:ascii="Arial" w:hAnsi="Arial" w:cs="Arial"/>
                <w:sz w:val="22"/>
                <w:szCs w:val="22"/>
              </w:rPr>
              <w:t>Finanční částka v Kč</w:t>
            </w:r>
          </w:p>
        </w:tc>
      </w:tr>
      <w:tr w:rsidR="005105E7" w:rsidRPr="00041C1A" w:rsidTr="00D07EA7">
        <w:tc>
          <w:tcPr>
            <w:tcW w:w="3612"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c>
          <w:tcPr>
            <w:tcW w:w="4395"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r>
      <w:tr w:rsidR="005105E7" w:rsidRPr="00041C1A" w:rsidTr="00D07EA7">
        <w:tc>
          <w:tcPr>
            <w:tcW w:w="3612"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c>
          <w:tcPr>
            <w:tcW w:w="4395"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r>
      <w:tr w:rsidR="005105E7" w:rsidRPr="00041C1A" w:rsidTr="00D07EA7">
        <w:tc>
          <w:tcPr>
            <w:tcW w:w="3612"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c>
          <w:tcPr>
            <w:tcW w:w="4395" w:type="dxa"/>
          </w:tcPr>
          <w:p w:rsidR="005105E7" w:rsidRPr="00041C1A" w:rsidRDefault="005105E7" w:rsidP="00D07EA7">
            <w:pPr>
              <w:pStyle w:val="Odstavecseseznamem"/>
              <w:overflowPunct w:val="0"/>
              <w:autoSpaceDE w:val="0"/>
              <w:autoSpaceDN w:val="0"/>
              <w:adjustRightInd w:val="0"/>
              <w:spacing w:after="160"/>
              <w:ind w:left="0"/>
              <w:jc w:val="both"/>
              <w:textAlignment w:val="baseline"/>
              <w:rPr>
                <w:rFonts w:ascii="Arial" w:hAnsi="Arial" w:cs="Arial"/>
                <w:i/>
              </w:rPr>
            </w:pPr>
          </w:p>
        </w:tc>
      </w:tr>
    </w:tbl>
    <w:p w:rsidR="005105E7" w:rsidRPr="00041C1A" w:rsidRDefault="005105E7" w:rsidP="005105E7">
      <w:pPr>
        <w:numPr>
          <w:ilvl w:val="0"/>
          <w:numId w:val="9"/>
        </w:numPr>
        <w:overflowPunct w:val="0"/>
        <w:autoSpaceDE w:val="0"/>
        <w:autoSpaceDN w:val="0"/>
        <w:adjustRightInd w:val="0"/>
        <w:spacing w:before="120" w:after="120"/>
        <w:ind w:left="357" w:hanging="357"/>
        <w:jc w:val="both"/>
        <w:textAlignment w:val="baseline"/>
        <w:rPr>
          <w:rFonts w:ascii="Arial" w:hAnsi="Arial" w:cs="Arial"/>
          <w:sz w:val="22"/>
          <w:szCs w:val="22"/>
        </w:rPr>
      </w:pPr>
      <w:r w:rsidRPr="00041C1A">
        <w:rPr>
          <w:rFonts w:ascii="Arial" w:hAnsi="Arial" w:cs="Arial"/>
          <w:sz w:val="22"/>
          <w:szCs w:val="22"/>
        </w:rPr>
        <w:t>Jako závazný technický ukazatel byl stanoven ………………………………………………</w:t>
      </w:r>
    </w:p>
    <w:p w:rsidR="005105E7" w:rsidRPr="00041C1A" w:rsidRDefault="005105E7" w:rsidP="005105E7">
      <w:pPr>
        <w:numPr>
          <w:ilvl w:val="0"/>
          <w:numId w:val="9"/>
        </w:numPr>
        <w:overflowPunct w:val="0"/>
        <w:autoSpaceDE w:val="0"/>
        <w:autoSpaceDN w:val="0"/>
        <w:adjustRightInd w:val="0"/>
        <w:spacing w:after="120"/>
        <w:ind w:left="357" w:hanging="357"/>
        <w:jc w:val="both"/>
        <w:textAlignment w:val="baseline"/>
        <w:rPr>
          <w:rFonts w:ascii="Arial" w:hAnsi="Arial" w:cs="Arial"/>
          <w:sz w:val="22"/>
          <w:szCs w:val="22"/>
        </w:rPr>
      </w:pPr>
      <w:r w:rsidRPr="00041C1A">
        <w:rPr>
          <w:rFonts w:ascii="Arial" w:hAnsi="Arial" w:cs="Arial"/>
          <w:sz w:val="22"/>
          <w:szCs w:val="22"/>
        </w:rPr>
        <w:t>Změny v rámci procentuálního účelového určení prostředků, termínu ukončení realizace projektu, závazného finančního a technického ukazatele je možné provádět pouze po schválení v orgánech kraje a to dodatkem ke smlouvě.</w:t>
      </w:r>
    </w:p>
    <w:p w:rsidR="005105E7" w:rsidRPr="00041C1A" w:rsidRDefault="005105E7" w:rsidP="005105E7">
      <w:pPr>
        <w:autoSpaceDE w:val="0"/>
        <w:autoSpaceDN w:val="0"/>
        <w:adjustRightInd w:val="0"/>
        <w:spacing w:before="240"/>
        <w:jc w:val="center"/>
        <w:outlineLvl w:val="0"/>
        <w:rPr>
          <w:rFonts w:ascii="Arial" w:hAnsi="Arial" w:cs="Arial"/>
          <w:b/>
          <w:bCs/>
          <w:color w:val="000000"/>
        </w:rPr>
      </w:pPr>
      <w:r w:rsidRPr="00041C1A">
        <w:rPr>
          <w:rFonts w:ascii="Arial" w:hAnsi="Arial" w:cs="Arial"/>
          <w:b/>
          <w:bCs/>
          <w:color w:val="000000"/>
        </w:rPr>
        <w:t>Článek III.</w:t>
      </w:r>
    </w:p>
    <w:p w:rsidR="005105E7" w:rsidRPr="00041C1A" w:rsidRDefault="005105E7" w:rsidP="005105E7">
      <w:pPr>
        <w:pStyle w:val="Zkladntext"/>
        <w:spacing w:after="120"/>
        <w:rPr>
          <w:rFonts w:ascii="Arial" w:hAnsi="Arial" w:cs="Arial"/>
          <w:b w:val="0"/>
          <w:bCs/>
          <w:sz w:val="22"/>
          <w:szCs w:val="22"/>
        </w:rPr>
      </w:pPr>
      <w:r w:rsidRPr="00041C1A">
        <w:rPr>
          <w:rFonts w:ascii="Arial" w:hAnsi="Arial" w:cs="Arial"/>
          <w:b w:val="0"/>
          <w:bCs/>
          <w:sz w:val="22"/>
          <w:szCs w:val="22"/>
        </w:rPr>
        <w:t>Práva a povinnosti</w:t>
      </w:r>
    </w:p>
    <w:p w:rsidR="005105E7" w:rsidRPr="00041C1A" w:rsidRDefault="005105E7" w:rsidP="005105E7">
      <w:pPr>
        <w:spacing w:after="120"/>
        <w:rPr>
          <w:rFonts w:ascii="Arial" w:hAnsi="Arial" w:cs="Arial"/>
          <w:sz w:val="22"/>
          <w:szCs w:val="22"/>
        </w:rPr>
      </w:pPr>
      <w:r w:rsidRPr="00041C1A">
        <w:rPr>
          <w:rFonts w:ascii="Arial" w:hAnsi="Arial" w:cs="Arial"/>
          <w:b/>
          <w:bCs/>
          <w:sz w:val="22"/>
          <w:szCs w:val="22"/>
        </w:rPr>
        <w:t>Příjemce</w:t>
      </w:r>
      <w:r w:rsidRPr="00041C1A">
        <w:rPr>
          <w:rFonts w:ascii="Arial" w:hAnsi="Arial" w:cs="Arial"/>
          <w:sz w:val="22"/>
          <w:szCs w:val="22"/>
        </w:rPr>
        <w:t xml:space="preserve"> prohlašuje, že dotaci přijímá a v této souvislosti se zavazuje:</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Použít dotaci za účelem realizace předloženého projektu, pro který byla dotace poskytnuta, a v souladu s touto smlouvou.</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Dotaci nepřevést na jiný subjekt.</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Dotaci nepoužít na úhradu DPH, je-li příjemce plátcem DPH s nárokem na uplatnění odpočtu této daně.</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Odpovídat za hospodárné použití přidělených prostředků v souladu se schváleným plánovaným nákladovým rozpočtem projektu, který je přílohou této smlouvy, a jejich řádné a oddělené sledování v účetnictví, vedeném v souladu se zákonem č. 563/1991 Sb., o účetnictví, ve znění pozdějších předpisů, a to jak z hlediska poskytnuté výše dotace, tak i z hlediska nákladů celého projektu.</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Označovat originály účetních dokladů informací o tom, že projekt je spolufinancován Ústeckým krajem.</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lastRenderedPageBreak/>
        <w:t xml:space="preserve">Předat poskytovateli písemnou závěrečnou zprávu </w:t>
      </w:r>
      <w:r>
        <w:rPr>
          <w:rFonts w:ascii="Arial" w:hAnsi="Arial" w:cs="Arial"/>
          <w:sz w:val="22"/>
          <w:szCs w:val="22"/>
        </w:rPr>
        <w:t xml:space="preserve">s vyúčtováním </w:t>
      </w:r>
      <w:r w:rsidRPr="00041C1A">
        <w:rPr>
          <w:rFonts w:ascii="Arial" w:hAnsi="Arial" w:cs="Arial"/>
          <w:sz w:val="22"/>
          <w:szCs w:val="22"/>
        </w:rPr>
        <w:t xml:space="preserve">o použití poskytnuté dotace, a to do 30 dnů od ukončení realizace projektu. Pokud byl projekt realizován před uzavřením této smlouvy, je příjemce povinen předložit poskytovateli vyúčtování poskytnuté dotace do 30 dnů od uzavření této smlouvy. Spolu se závěrečnou zprávou je příjemce povinen předložit závěrečné vyúčtování čerpání dotace. Ze závažných důvodů může být termín předložení závěrečné zprávy </w:t>
      </w:r>
      <w:r>
        <w:rPr>
          <w:rFonts w:ascii="Arial" w:hAnsi="Arial" w:cs="Arial"/>
          <w:sz w:val="22"/>
          <w:szCs w:val="22"/>
        </w:rPr>
        <w:t xml:space="preserve">s vyúčtováním </w:t>
      </w:r>
      <w:r w:rsidRPr="00041C1A">
        <w:rPr>
          <w:rFonts w:ascii="Arial" w:hAnsi="Arial" w:cs="Arial"/>
          <w:sz w:val="22"/>
          <w:szCs w:val="22"/>
        </w:rPr>
        <w:t>poskytnuté dotace na žádost příjemce prodloužen, maximálně však o 10 kalendářních dnů.</w:t>
      </w:r>
    </w:p>
    <w:p w:rsidR="005105E7" w:rsidRPr="00041C1A" w:rsidRDefault="005105E7" w:rsidP="005105E7">
      <w:pPr>
        <w:tabs>
          <w:tab w:val="left" w:pos="1080"/>
        </w:tabs>
        <w:overflowPunct w:val="0"/>
        <w:autoSpaceDE w:val="0"/>
        <w:autoSpaceDN w:val="0"/>
        <w:adjustRightInd w:val="0"/>
        <w:spacing w:after="60"/>
        <w:ind w:left="360" w:firstLine="360"/>
        <w:jc w:val="both"/>
        <w:textAlignment w:val="baseline"/>
        <w:outlineLvl w:val="0"/>
        <w:rPr>
          <w:rFonts w:ascii="Arial" w:hAnsi="Arial" w:cs="Arial"/>
          <w:sz w:val="22"/>
          <w:szCs w:val="22"/>
          <w:u w:val="single"/>
        </w:rPr>
      </w:pPr>
      <w:r w:rsidRPr="00041C1A">
        <w:rPr>
          <w:rFonts w:ascii="Arial" w:hAnsi="Arial" w:cs="Arial"/>
          <w:sz w:val="22"/>
          <w:szCs w:val="22"/>
        </w:rPr>
        <w:t>I.</w:t>
      </w:r>
      <w:r w:rsidRPr="00041C1A">
        <w:rPr>
          <w:rFonts w:ascii="Arial" w:hAnsi="Arial" w:cs="Arial"/>
          <w:sz w:val="22"/>
          <w:szCs w:val="22"/>
        </w:rPr>
        <w:tab/>
      </w:r>
      <w:r w:rsidRPr="00041C1A">
        <w:rPr>
          <w:rFonts w:ascii="Arial" w:hAnsi="Arial" w:cs="Arial"/>
          <w:sz w:val="22"/>
          <w:szCs w:val="22"/>
          <w:u w:val="single"/>
        </w:rPr>
        <w:t>Závěrečná zpráva musí obsahovat:</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rPr>
      </w:pPr>
      <w:r w:rsidRPr="00041C1A">
        <w:rPr>
          <w:rFonts w:ascii="Arial" w:hAnsi="Arial" w:cs="Arial"/>
          <w:sz w:val="22"/>
          <w:szCs w:val="22"/>
        </w:rPr>
        <w:t>označení příjemce,</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rPr>
      </w:pPr>
      <w:r w:rsidRPr="00041C1A">
        <w:rPr>
          <w:rFonts w:ascii="Arial" w:hAnsi="Arial" w:cs="Arial"/>
          <w:sz w:val="22"/>
          <w:szCs w:val="22"/>
        </w:rPr>
        <w:t>číslo dotace (číslo smlouvy poskytovatele uvedené na 1. straně smlouvy),</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u w:val="single"/>
        </w:rPr>
      </w:pPr>
      <w:r w:rsidRPr="00041C1A">
        <w:rPr>
          <w:rFonts w:ascii="Arial" w:hAnsi="Arial" w:cs="Arial"/>
          <w:sz w:val="22"/>
          <w:szCs w:val="22"/>
        </w:rPr>
        <w:t>popis realizace projektu včetně dodržování jeho harmonogramu,</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u w:val="single"/>
        </w:rPr>
      </w:pPr>
      <w:r w:rsidRPr="00041C1A">
        <w:rPr>
          <w:rFonts w:ascii="Arial" w:hAnsi="Arial" w:cs="Arial"/>
          <w:sz w:val="22"/>
          <w:szCs w:val="22"/>
        </w:rPr>
        <w:t>kvalitativní a kvantitativní výstupy projektu,</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u w:val="single"/>
        </w:rPr>
      </w:pPr>
      <w:r w:rsidRPr="00041C1A">
        <w:rPr>
          <w:rFonts w:ascii="Arial" w:hAnsi="Arial" w:cs="Arial"/>
          <w:sz w:val="22"/>
          <w:szCs w:val="22"/>
        </w:rPr>
        <w:t>přínos projektu pro cílové skupiny,</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u w:val="single"/>
        </w:rPr>
      </w:pPr>
      <w:r w:rsidRPr="00041C1A">
        <w:rPr>
          <w:rFonts w:ascii="Arial" w:hAnsi="Arial" w:cs="Arial"/>
          <w:sz w:val="22"/>
          <w:szCs w:val="22"/>
        </w:rPr>
        <w:t>celkové zhodnocení projektu,</w:t>
      </w:r>
    </w:p>
    <w:p w:rsidR="005105E7" w:rsidRPr="00041C1A" w:rsidRDefault="005105E7" w:rsidP="005105E7">
      <w:pPr>
        <w:numPr>
          <w:ilvl w:val="1"/>
          <w:numId w:val="5"/>
        </w:numPr>
        <w:overflowPunct w:val="0"/>
        <w:autoSpaceDE w:val="0"/>
        <w:autoSpaceDN w:val="0"/>
        <w:adjustRightInd w:val="0"/>
        <w:spacing w:after="60"/>
        <w:jc w:val="both"/>
        <w:textAlignment w:val="baseline"/>
        <w:rPr>
          <w:rFonts w:ascii="Arial" w:hAnsi="Arial" w:cs="Arial"/>
          <w:sz w:val="22"/>
          <w:szCs w:val="22"/>
          <w:u w:val="single"/>
        </w:rPr>
      </w:pPr>
      <w:r w:rsidRPr="00041C1A">
        <w:rPr>
          <w:rFonts w:ascii="Arial" w:hAnsi="Arial" w:cs="Arial"/>
          <w:sz w:val="22"/>
          <w:szCs w:val="22"/>
        </w:rPr>
        <w:t>vyúčtování poskytnuté dotace,</w:t>
      </w:r>
      <w:r w:rsidRPr="00041C1A">
        <w:rPr>
          <w:rFonts w:ascii="Arial" w:hAnsi="Arial" w:cs="Arial"/>
          <w:color w:val="FF0000"/>
          <w:sz w:val="22"/>
          <w:szCs w:val="22"/>
        </w:rPr>
        <w:t xml:space="preserve"> </w:t>
      </w:r>
      <w:r w:rsidRPr="00041C1A">
        <w:rPr>
          <w:rFonts w:ascii="Arial" w:hAnsi="Arial" w:cs="Arial"/>
          <w:sz w:val="22"/>
          <w:szCs w:val="22"/>
        </w:rPr>
        <w:t>včetně účelového znaku.</w:t>
      </w:r>
    </w:p>
    <w:p w:rsidR="005105E7" w:rsidRPr="00041C1A" w:rsidRDefault="005105E7" w:rsidP="005105E7">
      <w:pPr>
        <w:tabs>
          <w:tab w:val="left" w:pos="1080"/>
        </w:tabs>
        <w:overflowPunct w:val="0"/>
        <w:autoSpaceDE w:val="0"/>
        <w:autoSpaceDN w:val="0"/>
        <w:adjustRightInd w:val="0"/>
        <w:spacing w:before="360" w:after="60"/>
        <w:ind w:left="721" w:hanging="1"/>
        <w:jc w:val="both"/>
        <w:textAlignment w:val="baseline"/>
        <w:outlineLvl w:val="0"/>
        <w:rPr>
          <w:rFonts w:ascii="Arial" w:hAnsi="Arial" w:cs="Arial"/>
          <w:sz w:val="22"/>
          <w:szCs w:val="22"/>
          <w:u w:val="single"/>
        </w:rPr>
      </w:pPr>
      <w:r w:rsidRPr="00041C1A">
        <w:rPr>
          <w:rFonts w:ascii="Arial" w:hAnsi="Arial" w:cs="Arial"/>
          <w:sz w:val="22"/>
          <w:szCs w:val="22"/>
        </w:rPr>
        <w:t>II.</w:t>
      </w:r>
      <w:r w:rsidRPr="00041C1A">
        <w:rPr>
          <w:rFonts w:ascii="Arial" w:hAnsi="Arial" w:cs="Arial"/>
          <w:sz w:val="22"/>
          <w:szCs w:val="22"/>
        </w:rPr>
        <w:tab/>
      </w:r>
      <w:r w:rsidRPr="00041C1A">
        <w:rPr>
          <w:rFonts w:ascii="Arial" w:hAnsi="Arial" w:cs="Arial"/>
          <w:sz w:val="22"/>
          <w:szCs w:val="22"/>
          <w:u w:val="single"/>
        </w:rPr>
        <w:t>Vyúčtování poskytnuté dotace musí obsahovat:</w:t>
      </w:r>
    </w:p>
    <w:p w:rsidR="005105E7" w:rsidRPr="00041C1A" w:rsidRDefault="005105E7" w:rsidP="005105E7">
      <w:pPr>
        <w:numPr>
          <w:ilvl w:val="0"/>
          <w:numId w:val="7"/>
        </w:numPr>
        <w:tabs>
          <w:tab w:val="clear" w:pos="1441"/>
          <w:tab w:val="num" w:pos="720"/>
        </w:tabs>
        <w:overflowPunct w:val="0"/>
        <w:autoSpaceDE w:val="0"/>
        <w:autoSpaceDN w:val="0"/>
        <w:adjustRightInd w:val="0"/>
        <w:spacing w:after="60"/>
        <w:ind w:left="1080"/>
        <w:jc w:val="both"/>
        <w:textAlignment w:val="baseline"/>
        <w:rPr>
          <w:rFonts w:ascii="Arial" w:hAnsi="Arial" w:cs="Arial"/>
          <w:sz w:val="22"/>
          <w:szCs w:val="22"/>
        </w:rPr>
      </w:pPr>
      <w:r w:rsidRPr="00041C1A">
        <w:rPr>
          <w:rFonts w:ascii="Arial" w:hAnsi="Arial" w:cs="Arial"/>
          <w:sz w:val="22"/>
          <w:szCs w:val="22"/>
        </w:rPr>
        <w:t>přehled všech nákladů a výnosů projektu,</w:t>
      </w:r>
    </w:p>
    <w:p w:rsidR="005105E7" w:rsidRPr="00041C1A" w:rsidRDefault="005105E7" w:rsidP="005105E7">
      <w:pPr>
        <w:numPr>
          <w:ilvl w:val="0"/>
          <w:numId w:val="6"/>
        </w:numPr>
        <w:tabs>
          <w:tab w:val="clear" w:pos="1441"/>
          <w:tab w:val="num" w:pos="709"/>
        </w:tabs>
        <w:overflowPunct w:val="0"/>
        <w:autoSpaceDE w:val="0"/>
        <w:autoSpaceDN w:val="0"/>
        <w:adjustRightInd w:val="0"/>
        <w:spacing w:after="60"/>
        <w:ind w:left="1080" w:hanging="371"/>
        <w:jc w:val="both"/>
        <w:textAlignment w:val="baseline"/>
        <w:rPr>
          <w:rFonts w:ascii="Arial" w:hAnsi="Arial" w:cs="Arial"/>
          <w:sz w:val="22"/>
          <w:szCs w:val="22"/>
        </w:rPr>
      </w:pPr>
      <w:r w:rsidRPr="00041C1A">
        <w:rPr>
          <w:rFonts w:ascii="Arial" w:hAnsi="Arial" w:cs="Arial"/>
          <w:sz w:val="22"/>
          <w:szCs w:val="22"/>
        </w:rPr>
        <w:t>přehled nákladů projektu hrazených z dotace v členění dle účelového určení,</w:t>
      </w:r>
    </w:p>
    <w:p w:rsidR="005105E7" w:rsidRPr="00041C1A" w:rsidRDefault="005105E7" w:rsidP="005105E7">
      <w:pPr>
        <w:numPr>
          <w:ilvl w:val="0"/>
          <w:numId w:val="6"/>
        </w:numPr>
        <w:tabs>
          <w:tab w:val="clear" w:pos="1441"/>
          <w:tab w:val="num" w:pos="709"/>
        </w:tabs>
        <w:overflowPunct w:val="0"/>
        <w:autoSpaceDE w:val="0"/>
        <w:autoSpaceDN w:val="0"/>
        <w:adjustRightInd w:val="0"/>
        <w:spacing w:after="60"/>
        <w:ind w:left="1080" w:hanging="371"/>
        <w:jc w:val="both"/>
        <w:textAlignment w:val="baseline"/>
        <w:rPr>
          <w:rFonts w:ascii="Arial" w:hAnsi="Arial" w:cs="Arial"/>
          <w:sz w:val="22"/>
          <w:szCs w:val="22"/>
        </w:rPr>
      </w:pPr>
      <w:r w:rsidRPr="00041C1A">
        <w:rPr>
          <w:rFonts w:ascii="Arial" w:hAnsi="Arial" w:cs="Arial"/>
          <w:sz w:val="22"/>
          <w:szCs w:val="22"/>
        </w:rPr>
        <w:t>výpis z odděleného účetnictví (případně účetnictví vedeného pod účelovým znakem), jestliže je příjemce povinen účetnictví vést.</w:t>
      </w:r>
    </w:p>
    <w:p w:rsidR="005105E7" w:rsidRPr="00041C1A" w:rsidRDefault="005105E7" w:rsidP="005105E7">
      <w:pPr>
        <w:numPr>
          <w:ilvl w:val="0"/>
          <w:numId w:val="2"/>
        </w:numPr>
        <w:overflowPunct w:val="0"/>
        <w:autoSpaceDE w:val="0"/>
        <w:autoSpaceDN w:val="0"/>
        <w:adjustRightInd w:val="0"/>
        <w:ind w:left="720"/>
        <w:jc w:val="both"/>
        <w:textAlignment w:val="baseline"/>
        <w:rPr>
          <w:rFonts w:ascii="Arial" w:hAnsi="Arial" w:cs="Arial"/>
          <w:sz w:val="22"/>
          <w:szCs w:val="22"/>
        </w:rPr>
      </w:pPr>
      <w:r w:rsidRPr="00041C1A">
        <w:rPr>
          <w:rFonts w:ascii="Arial" w:hAnsi="Arial" w:cs="Arial"/>
          <w:sz w:val="22"/>
          <w:szCs w:val="22"/>
        </w:rPr>
        <w:t>Zveřejňovat při všech příležitostech, že projekt je podporován Ústeckým krajem a uvádět logo kraje s názvem kraje na všech propagačních materiálech souvisejících s realizací projektu.</w:t>
      </w:r>
    </w:p>
    <w:p w:rsidR="005105E7" w:rsidRPr="00041C1A" w:rsidRDefault="005105E7" w:rsidP="005105E7">
      <w:pPr>
        <w:numPr>
          <w:ilvl w:val="0"/>
          <w:numId w:val="2"/>
        </w:numPr>
        <w:overflowPunct w:val="0"/>
        <w:autoSpaceDE w:val="0"/>
        <w:autoSpaceDN w:val="0"/>
        <w:adjustRightInd w:val="0"/>
        <w:spacing w:before="120" w:after="120"/>
        <w:jc w:val="both"/>
        <w:textAlignment w:val="baseline"/>
        <w:rPr>
          <w:rFonts w:ascii="Arial" w:hAnsi="Arial" w:cs="Arial"/>
          <w:sz w:val="22"/>
          <w:szCs w:val="22"/>
        </w:rPr>
      </w:pPr>
      <w:r w:rsidRPr="00041C1A">
        <w:rPr>
          <w:rFonts w:ascii="Arial" w:hAnsi="Arial" w:cs="Arial"/>
          <w:sz w:val="22"/>
          <w:szCs w:val="22"/>
        </w:rPr>
        <w:t>Umožnit pověřeným pracovníkům kraje provádět kontrolu čerpání a využití prostředků dotace v návaznosti na rozpočet projektu a v této souvislosti jim umožnit nahlížet do účetní evidence.</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Neprodleně písemně informovat, nejpozději však do 7 dnů, odbor životního prostředí a zemědělství krajského úřadu o všech změnách, týkajících se identifikace příjemce nebo realizace podpořeného projektu.</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V případě vykázaného vyššího procentuálního podílu dotace ve vztahu ke skutečným nákladům realizovaného projektu, než jaký byl stanoven jako závazný ukazatel (viz. čl. II odst. 7) smlouvy), prostředky, o které byl dohodnutý podíl dotace překročen, vrátit. Tyto prostředky příjemce poukáže zpět na účet poskytovatele, z něhož mu byly poskytnuty, a to současně s předložením závěrečné zprávy</w:t>
      </w:r>
      <w:r>
        <w:rPr>
          <w:rFonts w:ascii="Arial" w:hAnsi="Arial" w:cs="Arial"/>
          <w:sz w:val="22"/>
          <w:szCs w:val="22"/>
        </w:rPr>
        <w:t xml:space="preserve"> s vyúčtováním</w:t>
      </w:r>
      <w:r w:rsidRPr="00041C1A">
        <w:rPr>
          <w:rFonts w:ascii="Arial" w:hAnsi="Arial" w:cs="Arial"/>
          <w:sz w:val="22"/>
          <w:szCs w:val="22"/>
        </w:rPr>
        <w:t>.</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Vrátit nevyčerpanou část dotace zpět na účet poskytovatele, z něhož mu byla poskytnuta v případě, že skutečně vynaložené náklady budou nižší než náklady uvedené v plánovaném nákladovém rozpočtu, současně s předložením závěrečné zprávy</w:t>
      </w:r>
      <w:r>
        <w:rPr>
          <w:rFonts w:ascii="Arial" w:hAnsi="Arial" w:cs="Arial"/>
          <w:sz w:val="22"/>
          <w:szCs w:val="22"/>
        </w:rPr>
        <w:t xml:space="preserve"> s vyúčtováním</w:t>
      </w:r>
      <w:r w:rsidRPr="00041C1A">
        <w:rPr>
          <w:rFonts w:ascii="Arial" w:hAnsi="Arial" w:cs="Arial"/>
          <w:sz w:val="22"/>
          <w:szCs w:val="22"/>
        </w:rPr>
        <w:t>.</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Respektovat závěry kontroly provedené odborem životního prostředí a zemědělství nebo orgánem kontroly krajského úřadu.</w:t>
      </w:r>
    </w:p>
    <w:p w:rsidR="005105E7" w:rsidRPr="00041C1A" w:rsidRDefault="005105E7" w:rsidP="005105E7">
      <w:pPr>
        <w:numPr>
          <w:ilvl w:val="0"/>
          <w:numId w:val="2"/>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lastRenderedPageBreak/>
        <w:t>Zadávat veřejné zakázky v souladu se zákonem č. 137/2006 Sb., o veřejných zakázkách, ve znění pozdějších předpisů, jestliže se příjemce stal dotovaným zadavatelem ve smyslu ustanovení § 2 odst. 3 tohoto zákona.</w:t>
      </w:r>
    </w:p>
    <w:p w:rsidR="005105E7" w:rsidRPr="00041C1A" w:rsidRDefault="005105E7" w:rsidP="005105E7">
      <w:pPr>
        <w:numPr>
          <w:ilvl w:val="0"/>
          <w:numId w:val="2"/>
        </w:numPr>
        <w:spacing w:after="100" w:afterAutospacing="1"/>
        <w:jc w:val="both"/>
        <w:rPr>
          <w:rFonts w:ascii="Arial" w:hAnsi="Arial" w:cs="Arial"/>
          <w:sz w:val="22"/>
          <w:szCs w:val="22"/>
        </w:rPr>
      </w:pPr>
      <w:r w:rsidRPr="00041C1A">
        <w:rPr>
          <w:rFonts w:ascii="Arial" w:hAnsi="Arial" w:cs="Arial"/>
          <w:sz w:val="22"/>
          <w:szCs w:val="22"/>
        </w:rPr>
        <w:t>Veškeré změny týkající se tohoto smluvního vztahu neprodleně písemně oznámit poskytovateli. Každá změna smluvních ujednání musí být řešena číslovaným písemným dodatkem k původní smlouvě.</w:t>
      </w:r>
    </w:p>
    <w:p w:rsidR="005105E7" w:rsidRDefault="005105E7" w:rsidP="005105E7">
      <w:pPr>
        <w:numPr>
          <w:ilvl w:val="0"/>
          <w:numId w:val="2"/>
        </w:numPr>
        <w:overflowPunct w:val="0"/>
        <w:autoSpaceDE w:val="0"/>
        <w:autoSpaceDN w:val="0"/>
        <w:adjustRightInd w:val="0"/>
        <w:spacing w:before="120" w:after="240"/>
        <w:jc w:val="both"/>
        <w:textAlignment w:val="baseline"/>
        <w:rPr>
          <w:rFonts w:ascii="Arial" w:hAnsi="Arial" w:cs="Arial"/>
          <w:sz w:val="22"/>
          <w:szCs w:val="22"/>
        </w:rPr>
      </w:pPr>
      <w:r w:rsidRPr="00041C1A">
        <w:rPr>
          <w:rFonts w:ascii="Arial" w:hAnsi="Arial" w:cs="Arial"/>
          <w:sz w:val="22"/>
          <w:szCs w:val="22"/>
        </w:rPr>
        <w:t>V případě, že porušení podmínek smlouvy bude kvalifikováno jako porušení rozpočtové kázně dle ustanovení § 22 zákona č. 250/2000 Sb., o rozpočtových pravidlech územních rozpočtů, ve znění pozdějších předpisů, vrátit poskytovateli zpět dotaci ve výši částky neoprávněně použitých nebo zadržených prostředků včetně vyměřeného penále ve výši 1 promile denně z neoprávněně použitých nebo zadržených prostředků.</w:t>
      </w:r>
    </w:p>
    <w:p w:rsidR="005105E7" w:rsidRPr="00D3519B" w:rsidRDefault="005105E7" w:rsidP="005105E7">
      <w:pPr>
        <w:widowControl w:val="0"/>
        <w:numPr>
          <w:ilvl w:val="0"/>
          <w:numId w:val="2"/>
        </w:numPr>
        <w:spacing w:before="120"/>
        <w:jc w:val="both"/>
        <w:rPr>
          <w:rFonts w:ascii="Arial" w:hAnsi="Arial" w:cs="Arial"/>
          <w:sz w:val="22"/>
          <w:szCs w:val="22"/>
        </w:rPr>
      </w:pPr>
      <w:r w:rsidRPr="00D3519B">
        <w:rPr>
          <w:rFonts w:ascii="Arial" w:hAnsi="Arial" w:cs="Arial"/>
          <w:sz w:val="22"/>
          <w:szCs w:val="22"/>
        </w:rPr>
        <w:t xml:space="preserve">Vodohospodářskou infrastrukturu podpořenou dotací z Fondu nelze převést po dobu odpisování na jiný subjekt, vyjma převedení na subjekt, ve kterém má příjemce dotace majetkovou účast ve výši minimálně 51 %. </w:t>
      </w:r>
    </w:p>
    <w:p w:rsidR="005105E7" w:rsidRPr="00041C1A" w:rsidRDefault="005105E7" w:rsidP="005105E7">
      <w:pPr>
        <w:overflowPunct w:val="0"/>
        <w:autoSpaceDE w:val="0"/>
        <w:autoSpaceDN w:val="0"/>
        <w:adjustRightInd w:val="0"/>
        <w:spacing w:before="120" w:after="240"/>
        <w:jc w:val="both"/>
        <w:textAlignment w:val="baseline"/>
        <w:rPr>
          <w:rFonts w:ascii="Arial" w:hAnsi="Arial" w:cs="Arial"/>
          <w:sz w:val="22"/>
          <w:szCs w:val="22"/>
        </w:rPr>
      </w:pPr>
    </w:p>
    <w:p w:rsidR="005105E7" w:rsidRPr="00041C1A" w:rsidRDefault="005105E7" w:rsidP="005105E7">
      <w:pPr>
        <w:overflowPunct w:val="0"/>
        <w:autoSpaceDE w:val="0"/>
        <w:autoSpaceDN w:val="0"/>
        <w:adjustRightInd w:val="0"/>
        <w:spacing w:before="120"/>
        <w:ind w:left="360" w:hanging="360"/>
        <w:jc w:val="center"/>
        <w:textAlignment w:val="baseline"/>
        <w:outlineLvl w:val="0"/>
        <w:rPr>
          <w:rFonts w:ascii="Arial" w:hAnsi="Arial" w:cs="Arial"/>
          <w:b/>
          <w:bCs/>
        </w:rPr>
      </w:pPr>
      <w:r w:rsidRPr="00041C1A">
        <w:rPr>
          <w:rFonts w:ascii="Arial" w:hAnsi="Arial" w:cs="Arial"/>
          <w:b/>
          <w:bCs/>
        </w:rPr>
        <w:t>Článek IV.</w:t>
      </w:r>
    </w:p>
    <w:p w:rsidR="005105E7" w:rsidRPr="00041C1A" w:rsidRDefault="005105E7" w:rsidP="005105E7">
      <w:pPr>
        <w:overflowPunct w:val="0"/>
        <w:autoSpaceDE w:val="0"/>
        <w:autoSpaceDN w:val="0"/>
        <w:adjustRightInd w:val="0"/>
        <w:spacing w:after="240"/>
        <w:ind w:left="360" w:hanging="360"/>
        <w:jc w:val="center"/>
        <w:textAlignment w:val="baseline"/>
        <w:rPr>
          <w:rFonts w:ascii="Arial" w:hAnsi="Arial" w:cs="Arial"/>
          <w:bCs/>
          <w:sz w:val="22"/>
          <w:szCs w:val="22"/>
        </w:rPr>
      </w:pPr>
      <w:r w:rsidRPr="00041C1A">
        <w:rPr>
          <w:rFonts w:ascii="Arial" w:hAnsi="Arial" w:cs="Arial"/>
          <w:bCs/>
          <w:sz w:val="22"/>
          <w:szCs w:val="22"/>
        </w:rPr>
        <w:t>Sankce, výpověď a zrušení smlouvy</w:t>
      </w:r>
    </w:p>
    <w:p w:rsidR="005105E7" w:rsidRPr="00041C1A" w:rsidRDefault="005105E7" w:rsidP="005105E7">
      <w:pPr>
        <w:numPr>
          <w:ilvl w:val="0"/>
          <w:numId w:val="3"/>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Poskytovatel je oprávněn v případě neplnění podmínek smlouvy požadovat na příjemci vrácení dotace a příjemce je povinen na výzvu poskytovatele prostředky poskytnuté dotací vrátit ve lhůtě stanovené poskytovatelem. V případě prodlení příjemce s vrácením prostředků poskytnutých dotací, je poskytovatel oprávněn požadovat úhradu smluvní pokuty ve výši 15 % z těchto prostředků. Uvedené se nedotýká povinnosti úhrady úroků z prodlení.</w:t>
      </w:r>
    </w:p>
    <w:p w:rsidR="005105E7" w:rsidRPr="00041C1A" w:rsidRDefault="005105E7" w:rsidP="005105E7">
      <w:pPr>
        <w:numPr>
          <w:ilvl w:val="0"/>
          <w:numId w:val="3"/>
        </w:numPr>
        <w:overflowPunct w:val="0"/>
        <w:autoSpaceDE w:val="0"/>
        <w:autoSpaceDN w:val="0"/>
        <w:adjustRightInd w:val="0"/>
        <w:spacing w:after="100" w:afterAutospacing="1"/>
        <w:jc w:val="both"/>
        <w:textAlignment w:val="baseline"/>
        <w:rPr>
          <w:rFonts w:ascii="Arial" w:hAnsi="Arial" w:cs="Arial"/>
          <w:sz w:val="22"/>
          <w:szCs w:val="22"/>
        </w:rPr>
      </w:pPr>
      <w:r w:rsidRPr="00041C1A">
        <w:rPr>
          <w:rFonts w:ascii="Arial" w:hAnsi="Arial" w:cs="Arial"/>
          <w:sz w:val="22"/>
          <w:szCs w:val="22"/>
        </w:rPr>
        <w:t>Poskytovatel je oprávněn vypovědět smlouvu v případě, že příjemce porušil smluvní povinnost stanovenou touto smlouvou. Výpověď musí mít písemnou formu a nabývá účinnosti uplynutím výpovědní lhůty, která činí 15 dnů od doručení výpovědi.</w:t>
      </w:r>
    </w:p>
    <w:p w:rsidR="005105E7" w:rsidRPr="00041C1A" w:rsidRDefault="005105E7" w:rsidP="005105E7">
      <w:pPr>
        <w:numPr>
          <w:ilvl w:val="0"/>
          <w:numId w:val="3"/>
        </w:numPr>
        <w:overflowPunct w:val="0"/>
        <w:autoSpaceDE w:val="0"/>
        <w:autoSpaceDN w:val="0"/>
        <w:adjustRightInd w:val="0"/>
        <w:spacing w:before="120"/>
        <w:jc w:val="both"/>
        <w:textAlignment w:val="baseline"/>
        <w:rPr>
          <w:rFonts w:ascii="Arial" w:hAnsi="Arial" w:cs="Arial"/>
          <w:sz w:val="22"/>
          <w:szCs w:val="22"/>
        </w:rPr>
      </w:pPr>
      <w:r w:rsidRPr="00041C1A">
        <w:rPr>
          <w:rFonts w:ascii="Arial" w:hAnsi="Arial" w:cs="Arial"/>
          <w:sz w:val="22"/>
          <w:szCs w:val="22"/>
        </w:rPr>
        <w:t xml:space="preserve">Smluvní strany můžou podat písemný návrh na zrušení smlouvy z důvodů uvedených v § 167 odst. 1 správního řádu. Pokud strana smlouvy, které byl návrh doručen, s ním vysloví souhlas, smlouva zaniká dnem, kdy </w:t>
      </w:r>
      <w:r>
        <w:rPr>
          <w:rFonts w:ascii="Arial" w:hAnsi="Arial" w:cs="Arial"/>
          <w:sz w:val="22"/>
          <w:szCs w:val="22"/>
        </w:rPr>
        <w:t xml:space="preserve">je </w:t>
      </w:r>
      <w:r w:rsidRPr="00041C1A">
        <w:rPr>
          <w:rFonts w:ascii="Arial" w:hAnsi="Arial" w:cs="Arial"/>
          <w:sz w:val="22"/>
          <w:szCs w:val="22"/>
        </w:rPr>
        <w:t xml:space="preserve">písemný souhlas </w:t>
      </w:r>
      <w:r>
        <w:rPr>
          <w:rFonts w:ascii="Arial" w:hAnsi="Arial" w:cs="Arial"/>
          <w:sz w:val="22"/>
          <w:szCs w:val="22"/>
        </w:rPr>
        <w:t>doručen</w:t>
      </w:r>
      <w:r w:rsidRPr="00041C1A">
        <w:rPr>
          <w:rFonts w:ascii="Arial" w:hAnsi="Arial" w:cs="Arial"/>
          <w:sz w:val="22"/>
          <w:szCs w:val="22"/>
        </w:rPr>
        <w:t xml:space="preserve"> smluvní straně, která návrh podala. Pokud strana smlouvy, které byl návrh doručen, s ním nevysloví souhlas, smlouva nezaniká.</w:t>
      </w:r>
    </w:p>
    <w:p w:rsidR="005105E7" w:rsidRPr="00041C1A" w:rsidRDefault="005105E7" w:rsidP="005105E7">
      <w:pPr>
        <w:overflowPunct w:val="0"/>
        <w:autoSpaceDE w:val="0"/>
        <w:autoSpaceDN w:val="0"/>
        <w:adjustRightInd w:val="0"/>
        <w:spacing w:before="240"/>
        <w:jc w:val="center"/>
        <w:textAlignment w:val="baseline"/>
        <w:outlineLvl w:val="0"/>
        <w:rPr>
          <w:rFonts w:ascii="Arial" w:hAnsi="Arial" w:cs="Arial"/>
        </w:rPr>
      </w:pPr>
      <w:r w:rsidRPr="00041C1A">
        <w:rPr>
          <w:rFonts w:ascii="Arial" w:hAnsi="Arial" w:cs="Arial"/>
          <w:b/>
          <w:bCs/>
        </w:rPr>
        <w:t>Článek V.</w:t>
      </w:r>
    </w:p>
    <w:p w:rsidR="005105E7" w:rsidRPr="00041C1A" w:rsidRDefault="005105E7" w:rsidP="005105E7">
      <w:pPr>
        <w:overflowPunct w:val="0"/>
        <w:autoSpaceDE w:val="0"/>
        <w:autoSpaceDN w:val="0"/>
        <w:adjustRightInd w:val="0"/>
        <w:spacing w:after="240"/>
        <w:ind w:left="360" w:hanging="360"/>
        <w:jc w:val="center"/>
        <w:textAlignment w:val="baseline"/>
        <w:rPr>
          <w:rFonts w:ascii="Arial" w:hAnsi="Arial" w:cs="Arial"/>
          <w:bCs/>
          <w:sz w:val="22"/>
          <w:szCs w:val="22"/>
        </w:rPr>
      </w:pPr>
      <w:r w:rsidRPr="00041C1A">
        <w:rPr>
          <w:rFonts w:ascii="Arial" w:hAnsi="Arial" w:cs="Arial"/>
          <w:bCs/>
          <w:sz w:val="22"/>
          <w:szCs w:val="22"/>
        </w:rPr>
        <w:t>Ostatní ujednání</w:t>
      </w:r>
    </w:p>
    <w:p w:rsidR="005105E7" w:rsidRPr="00041C1A" w:rsidRDefault="005105E7" w:rsidP="005105E7">
      <w:pPr>
        <w:numPr>
          <w:ilvl w:val="0"/>
          <w:numId w:val="1"/>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Příjemce souhlasí se zveřejněním svého jména (obchodní firmy), identifikačního čísla, adresy, dotačního titulu, účelu a výše poskytnuté dotace.</w:t>
      </w:r>
    </w:p>
    <w:p w:rsidR="005105E7" w:rsidRPr="00041C1A" w:rsidRDefault="005105E7" w:rsidP="005105E7">
      <w:pPr>
        <w:numPr>
          <w:ilvl w:val="0"/>
          <w:numId w:val="1"/>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Tuto smlouvu lze měnit či doplňovat po dohodě smluvních stran pouze formou písemných a číslovaných dodatků.</w:t>
      </w:r>
    </w:p>
    <w:p w:rsidR="005105E7" w:rsidRPr="00041C1A" w:rsidRDefault="005105E7" w:rsidP="005105E7">
      <w:pPr>
        <w:pStyle w:val="Zkladntext"/>
        <w:widowControl/>
        <w:numPr>
          <w:ilvl w:val="0"/>
          <w:numId w:val="1"/>
        </w:numPr>
        <w:spacing w:after="120"/>
        <w:jc w:val="both"/>
        <w:rPr>
          <w:rFonts w:ascii="Arial" w:hAnsi="Arial" w:cs="Arial"/>
          <w:b w:val="0"/>
          <w:sz w:val="22"/>
          <w:szCs w:val="22"/>
        </w:rPr>
      </w:pPr>
      <w:r w:rsidRPr="00041C1A">
        <w:rPr>
          <w:rFonts w:ascii="Arial" w:hAnsi="Arial" w:cs="Arial"/>
          <w:b w:val="0"/>
          <w:sz w:val="22"/>
          <w:szCs w:val="22"/>
        </w:rPr>
        <w:t>Pokud v této smlouvě není stanoveno jinak, použijí se přiměřeně na právní vztahy z ní vyplývající příslušná ustanovení správního řádu, případně příslušná ustanovení občanského zákoníku s výjimkou uvedenou v § 170 správního řádu.</w:t>
      </w:r>
    </w:p>
    <w:p w:rsidR="005105E7" w:rsidRPr="00041C1A" w:rsidRDefault="005105E7" w:rsidP="005105E7">
      <w:pPr>
        <w:numPr>
          <w:ilvl w:val="0"/>
          <w:numId w:val="1"/>
        </w:numPr>
        <w:overflowPunct w:val="0"/>
        <w:autoSpaceDE w:val="0"/>
        <w:autoSpaceDN w:val="0"/>
        <w:adjustRightInd w:val="0"/>
        <w:spacing w:after="120"/>
        <w:jc w:val="both"/>
        <w:textAlignment w:val="baseline"/>
        <w:rPr>
          <w:rFonts w:ascii="Arial" w:hAnsi="Arial" w:cs="Arial"/>
          <w:sz w:val="22"/>
          <w:szCs w:val="22"/>
        </w:rPr>
      </w:pPr>
      <w:r w:rsidRPr="00041C1A">
        <w:rPr>
          <w:rFonts w:ascii="Arial" w:hAnsi="Arial" w:cs="Arial"/>
          <w:sz w:val="22"/>
          <w:szCs w:val="22"/>
        </w:rPr>
        <w:t>Tato smlouva je vyhotovena ve čtyřech vyhotoveních s platností originálu, přičemž každá ze smluvních stran obdrží dvě vyhotovení.</w:t>
      </w:r>
    </w:p>
    <w:p w:rsidR="005105E7" w:rsidRPr="00041C1A" w:rsidRDefault="005105E7" w:rsidP="005105E7">
      <w:pPr>
        <w:numPr>
          <w:ilvl w:val="0"/>
          <w:numId w:val="1"/>
        </w:numPr>
        <w:overflowPunct w:val="0"/>
        <w:autoSpaceDE w:val="0"/>
        <w:autoSpaceDN w:val="0"/>
        <w:adjustRightInd w:val="0"/>
        <w:spacing w:after="120"/>
        <w:jc w:val="both"/>
        <w:textAlignment w:val="baseline"/>
        <w:outlineLvl w:val="0"/>
        <w:rPr>
          <w:rFonts w:ascii="Arial" w:hAnsi="Arial" w:cs="Arial"/>
          <w:sz w:val="22"/>
          <w:szCs w:val="22"/>
        </w:rPr>
      </w:pPr>
      <w:r w:rsidRPr="00041C1A">
        <w:rPr>
          <w:rFonts w:ascii="Arial" w:hAnsi="Arial" w:cs="Arial"/>
          <w:sz w:val="22"/>
          <w:szCs w:val="22"/>
        </w:rPr>
        <w:t>Tato smlouva nabývá platnosti i účinnosti dnem jejího uzavření.</w:t>
      </w:r>
    </w:p>
    <w:p w:rsidR="005105E7" w:rsidRPr="00041C1A" w:rsidRDefault="005105E7" w:rsidP="005105E7">
      <w:pPr>
        <w:numPr>
          <w:ilvl w:val="0"/>
          <w:numId w:val="1"/>
        </w:numPr>
        <w:overflowPunct w:val="0"/>
        <w:autoSpaceDE w:val="0"/>
        <w:autoSpaceDN w:val="0"/>
        <w:adjustRightInd w:val="0"/>
        <w:spacing w:after="120"/>
        <w:ind w:left="361"/>
        <w:jc w:val="both"/>
        <w:textAlignment w:val="baseline"/>
        <w:rPr>
          <w:rFonts w:ascii="Arial" w:hAnsi="Arial" w:cs="Arial"/>
          <w:sz w:val="22"/>
          <w:szCs w:val="22"/>
        </w:rPr>
      </w:pPr>
      <w:r w:rsidRPr="00041C1A">
        <w:rPr>
          <w:rFonts w:ascii="Arial" w:hAnsi="Arial" w:cs="Arial"/>
          <w:sz w:val="22"/>
          <w:szCs w:val="22"/>
        </w:rPr>
        <w:lastRenderedPageBreak/>
        <w:t>Poskytovatel potvrzuje, že o uzavření této smlouvy bylo rozhodnuto…………usnesením ……………..č. …………..ze dne …………….</w:t>
      </w:r>
    </w:p>
    <w:tbl>
      <w:tblPr>
        <w:tblW w:w="0" w:type="auto"/>
        <w:tblLook w:val="01E0"/>
      </w:tblPr>
      <w:tblGrid>
        <w:gridCol w:w="4606"/>
        <w:gridCol w:w="4606"/>
      </w:tblGrid>
      <w:tr w:rsidR="005105E7" w:rsidRPr="00041C1A" w:rsidTr="00D07EA7">
        <w:tc>
          <w:tcPr>
            <w:tcW w:w="4606" w:type="dxa"/>
          </w:tcPr>
          <w:p w:rsidR="005105E7" w:rsidRDefault="005105E7" w:rsidP="00D07EA7">
            <w:pPr>
              <w:widowControl w:val="0"/>
              <w:autoSpaceDE w:val="0"/>
              <w:autoSpaceDN w:val="0"/>
              <w:adjustRightInd w:val="0"/>
              <w:spacing w:before="360"/>
              <w:rPr>
                <w:rFonts w:ascii="Arial" w:hAnsi="Arial" w:cs="Arial"/>
              </w:rPr>
            </w:pPr>
            <w:r w:rsidRPr="00041C1A">
              <w:rPr>
                <w:rFonts w:ascii="Arial" w:hAnsi="Arial" w:cs="Arial"/>
                <w:sz w:val="22"/>
                <w:szCs w:val="22"/>
              </w:rPr>
              <w:t>V Ústí nad Labem dne …………………</w:t>
            </w:r>
          </w:p>
          <w:p w:rsidR="005105E7" w:rsidRDefault="005105E7" w:rsidP="00D07EA7">
            <w:pPr>
              <w:widowControl w:val="0"/>
              <w:autoSpaceDE w:val="0"/>
              <w:autoSpaceDN w:val="0"/>
              <w:adjustRightInd w:val="0"/>
              <w:spacing w:before="360"/>
              <w:rPr>
                <w:rFonts w:ascii="Arial" w:hAnsi="Arial" w:cs="Arial"/>
              </w:rPr>
            </w:pPr>
          </w:p>
          <w:p w:rsidR="005105E7" w:rsidRPr="00041C1A" w:rsidRDefault="005105E7" w:rsidP="00D07EA7">
            <w:pPr>
              <w:widowControl w:val="0"/>
              <w:autoSpaceDE w:val="0"/>
              <w:autoSpaceDN w:val="0"/>
              <w:adjustRightInd w:val="0"/>
              <w:spacing w:before="360"/>
              <w:rPr>
                <w:rFonts w:ascii="Arial" w:hAnsi="Arial" w:cs="Arial"/>
              </w:rPr>
            </w:pPr>
          </w:p>
        </w:tc>
        <w:tc>
          <w:tcPr>
            <w:tcW w:w="4606" w:type="dxa"/>
          </w:tcPr>
          <w:p w:rsidR="005105E7" w:rsidRPr="00041C1A" w:rsidRDefault="005105E7" w:rsidP="00D07EA7">
            <w:pPr>
              <w:widowControl w:val="0"/>
              <w:autoSpaceDE w:val="0"/>
              <w:autoSpaceDN w:val="0"/>
              <w:adjustRightInd w:val="0"/>
              <w:spacing w:before="360"/>
              <w:rPr>
                <w:rFonts w:ascii="Arial" w:hAnsi="Arial" w:cs="Arial"/>
              </w:rPr>
            </w:pPr>
            <w:r w:rsidRPr="00041C1A">
              <w:rPr>
                <w:rFonts w:ascii="Arial" w:hAnsi="Arial" w:cs="Arial"/>
                <w:sz w:val="22"/>
                <w:szCs w:val="22"/>
              </w:rPr>
              <w:t>V ………………… dne ………………..</w:t>
            </w:r>
          </w:p>
        </w:tc>
      </w:tr>
      <w:tr w:rsidR="005105E7" w:rsidRPr="00041C1A" w:rsidTr="00D07EA7">
        <w:tc>
          <w:tcPr>
            <w:tcW w:w="4606" w:type="dxa"/>
          </w:tcPr>
          <w:p w:rsidR="005105E7" w:rsidRPr="00041C1A" w:rsidRDefault="005105E7" w:rsidP="00D07EA7">
            <w:pPr>
              <w:widowControl w:val="0"/>
              <w:autoSpaceDE w:val="0"/>
              <w:autoSpaceDN w:val="0"/>
              <w:adjustRightInd w:val="0"/>
              <w:rPr>
                <w:rFonts w:ascii="Arial" w:hAnsi="Arial" w:cs="Arial"/>
              </w:rPr>
            </w:pPr>
            <w:r w:rsidRPr="00041C1A">
              <w:rPr>
                <w:rFonts w:ascii="Arial" w:hAnsi="Arial" w:cs="Arial"/>
              </w:rPr>
              <w:t>…………………………………………….</w:t>
            </w:r>
          </w:p>
        </w:tc>
        <w:tc>
          <w:tcPr>
            <w:tcW w:w="4606" w:type="dxa"/>
          </w:tcPr>
          <w:p w:rsidR="005105E7" w:rsidRPr="00041C1A" w:rsidRDefault="005105E7" w:rsidP="00D07EA7">
            <w:pPr>
              <w:widowControl w:val="0"/>
              <w:autoSpaceDE w:val="0"/>
              <w:autoSpaceDN w:val="0"/>
              <w:adjustRightInd w:val="0"/>
              <w:rPr>
                <w:rFonts w:ascii="Arial" w:hAnsi="Arial" w:cs="Arial"/>
              </w:rPr>
            </w:pPr>
            <w:r w:rsidRPr="00041C1A">
              <w:rPr>
                <w:rFonts w:ascii="Arial" w:hAnsi="Arial" w:cs="Arial"/>
              </w:rPr>
              <w:t>………………………………………………</w:t>
            </w:r>
          </w:p>
        </w:tc>
      </w:tr>
      <w:tr w:rsidR="005105E7" w:rsidRPr="00041C1A" w:rsidTr="00D07EA7">
        <w:tc>
          <w:tcPr>
            <w:tcW w:w="4606" w:type="dxa"/>
          </w:tcPr>
          <w:p w:rsidR="005105E7" w:rsidRPr="00041C1A" w:rsidRDefault="005105E7" w:rsidP="00D07EA7">
            <w:pPr>
              <w:widowControl w:val="0"/>
              <w:autoSpaceDE w:val="0"/>
              <w:autoSpaceDN w:val="0"/>
              <w:adjustRightInd w:val="0"/>
              <w:jc w:val="center"/>
              <w:rPr>
                <w:rFonts w:ascii="Arial" w:hAnsi="Arial" w:cs="Arial"/>
              </w:rPr>
            </w:pPr>
            <w:r w:rsidRPr="00041C1A">
              <w:rPr>
                <w:rFonts w:ascii="Arial" w:hAnsi="Arial" w:cs="Arial"/>
                <w:sz w:val="22"/>
                <w:szCs w:val="22"/>
              </w:rPr>
              <w:t>Poskytovatel</w:t>
            </w:r>
          </w:p>
          <w:p w:rsidR="005105E7" w:rsidRPr="00041C1A" w:rsidRDefault="005105E7" w:rsidP="00D07EA7">
            <w:pPr>
              <w:widowControl w:val="0"/>
              <w:autoSpaceDE w:val="0"/>
              <w:autoSpaceDN w:val="0"/>
              <w:adjustRightInd w:val="0"/>
              <w:jc w:val="center"/>
              <w:rPr>
                <w:rFonts w:ascii="Arial" w:hAnsi="Arial" w:cs="Arial"/>
              </w:rPr>
            </w:pPr>
            <w:r w:rsidRPr="00041C1A">
              <w:rPr>
                <w:rFonts w:ascii="Arial" w:hAnsi="Arial" w:cs="Arial"/>
                <w:sz w:val="22"/>
                <w:szCs w:val="22"/>
              </w:rPr>
              <w:t>Ústecký kraj</w:t>
            </w:r>
          </w:p>
          <w:p w:rsidR="005105E7" w:rsidRPr="00041C1A" w:rsidRDefault="005105E7" w:rsidP="00D07EA7">
            <w:pPr>
              <w:widowControl w:val="0"/>
              <w:autoSpaceDE w:val="0"/>
              <w:autoSpaceDN w:val="0"/>
              <w:adjustRightInd w:val="0"/>
              <w:jc w:val="center"/>
              <w:rPr>
                <w:rFonts w:ascii="Arial" w:hAnsi="Arial" w:cs="Arial"/>
              </w:rPr>
            </w:pPr>
            <w:r w:rsidRPr="00041C1A">
              <w:rPr>
                <w:rFonts w:ascii="Arial" w:hAnsi="Arial" w:cs="Arial"/>
                <w:sz w:val="22"/>
                <w:szCs w:val="22"/>
              </w:rPr>
              <w:t>Oldřich Bubeníček, hejtman Ústeckého kraje</w:t>
            </w:r>
          </w:p>
        </w:tc>
        <w:tc>
          <w:tcPr>
            <w:tcW w:w="4606" w:type="dxa"/>
          </w:tcPr>
          <w:p w:rsidR="005105E7" w:rsidRPr="00041C1A" w:rsidRDefault="005105E7" w:rsidP="00D07EA7">
            <w:pPr>
              <w:widowControl w:val="0"/>
              <w:autoSpaceDE w:val="0"/>
              <w:autoSpaceDN w:val="0"/>
              <w:adjustRightInd w:val="0"/>
              <w:jc w:val="center"/>
              <w:rPr>
                <w:rFonts w:ascii="Arial" w:hAnsi="Arial" w:cs="Arial"/>
              </w:rPr>
            </w:pPr>
            <w:r w:rsidRPr="00041C1A">
              <w:rPr>
                <w:rFonts w:ascii="Arial" w:hAnsi="Arial" w:cs="Arial"/>
                <w:sz w:val="22"/>
                <w:szCs w:val="22"/>
              </w:rPr>
              <w:t>Příjemce</w:t>
            </w:r>
          </w:p>
        </w:tc>
      </w:tr>
    </w:tbl>
    <w:p w:rsidR="005105E7" w:rsidRPr="00041C1A" w:rsidRDefault="005105E7" w:rsidP="005105E7">
      <w:pPr>
        <w:spacing w:before="240" w:after="120"/>
        <w:rPr>
          <w:rFonts w:ascii="Arial" w:hAnsi="Arial" w:cs="Arial"/>
          <w:i/>
          <w:sz w:val="22"/>
          <w:szCs w:val="22"/>
        </w:rPr>
      </w:pPr>
      <w:r w:rsidRPr="00041C1A">
        <w:rPr>
          <w:rFonts w:ascii="Arial" w:hAnsi="Arial" w:cs="Arial"/>
          <w:i/>
          <w:sz w:val="22"/>
          <w:szCs w:val="22"/>
        </w:rPr>
        <w:t>Přílohy:</w:t>
      </w:r>
    </w:p>
    <w:p w:rsidR="005105E7" w:rsidRPr="00041C1A" w:rsidRDefault="005105E7" w:rsidP="005105E7">
      <w:pPr>
        <w:spacing w:after="120"/>
        <w:jc w:val="both"/>
        <w:rPr>
          <w:rFonts w:ascii="Arial" w:hAnsi="Arial" w:cs="Arial"/>
          <w:i/>
          <w:iCs/>
          <w:sz w:val="22"/>
          <w:szCs w:val="22"/>
          <w:u w:val="single"/>
        </w:rPr>
      </w:pPr>
      <w:r w:rsidRPr="00041C1A">
        <w:rPr>
          <w:rFonts w:ascii="Arial" w:hAnsi="Arial" w:cs="Arial"/>
          <w:i/>
          <w:sz w:val="22"/>
          <w:szCs w:val="22"/>
        </w:rPr>
        <w:t>Příloha č. 1 - Výpis z obchodního/živnostenského rejstříku příjemce</w:t>
      </w:r>
    </w:p>
    <w:p w:rsidR="005105E7" w:rsidRPr="00041C1A" w:rsidRDefault="005105E7" w:rsidP="005105E7">
      <w:pPr>
        <w:spacing w:after="120"/>
        <w:rPr>
          <w:rFonts w:ascii="Arial" w:hAnsi="Arial" w:cs="Arial"/>
          <w:i/>
          <w:color w:val="000000"/>
          <w:sz w:val="22"/>
          <w:szCs w:val="22"/>
        </w:rPr>
      </w:pPr>
      <w:r w:rsidRPr="00041C1A">
        <w:rPr>
          <w:rFonts w:ascii="Arial" w:hAnsi="Arial" w:cs="Arial"/>
          <w:i/>
          <w:iCs/>
          <w:color w:val="000000"/>
          <w:sz w:val="22"/>
          <w:szCs w:val="22"/>
        </w:rPr>
        <w:t xml:space="preserve">Příloha č. 2 - </w:t>
      </w:r>
      <w:r w:rsidRPr="00041C1A">
        <w:rPr>
          <w:rFonts w:ascii="Arial" w:hAnsi="Arial" w:cs="Arial"/>
          <w:i/>
          <w:color w:val="000000"/>
          <w:sz w:val="22"/>
          <w:szCs w:val="22"/>
        </w:rPr>
        <w:t>Plánovaný nákladový rozpočet včetně harmonogramu příjmů a plateb</w:t>
      </w: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105E7">
      <w:pPr>
        <w:jc w:val="right"/>
        <w:rPr>
          <w:rFonts w:ascii="Arial" w:hAnsi="Arial" w:cs="Arial"/>
          <w:sz w:val="22"/>
          <w:szCs w:val="22"/>
        </w:rPr>
      </w:pPr>
    </w:p>
    <w:p w:rsidR="005105E7" w:rsidRDefault="005105E7" w:rsidP="005835BB">
      <w:pPr>
        <w:rPr>
          <w:rFonts w:ascii="Arial" w:hAnsi="Arial" w:cs="Arial"/>
          <w:sz w:val="22"/>
          <w:szCs w:val="22"/>
        </w:rPr>
      </w:pPr>
    </w:p>
    <w:sectPr w:rsidR="005105E7" w:rsidSect="0012028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5E7" w:rsidRDefault="005105E7" w:rsidP="005105E7">
      <w:r>
        <w:separator/>
      </w:r>
    </w:p>
  </w:endnote>
  <w:endnote w:type="continuationSeparator" w:id="0">
    <w:p w:rsidR="005105E7" w:rsidRDefault="005105E7" w:rsidP="00510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6313"/>
      <w:docPartObj>
        <w:docPartGallery w:val="Page Numbers (Bottom of Page)"/>
        <w:docPartUnique/>
      </w:docPartObj>
    </w:sdtPr>
    <w:sdtContent>
      <w:p w:rsidR="005835BB" w:rsidRDefault="005835BB">
        <w:pPr>
          <w:pStyle w:val="Zpat"/>
          <w:jc w:val="right"/>
        </w:pPr>
        <w:fldSimple w:instr=" PAGE   \* MERGEFORMAT ">
          <w:r>
            <w:rPr>
              <w:noProof/>
            </w:rPr>
            <w:t>1</w:t>
          </w:r>
        </w:fldSimple>
      </w:p>
    </w:sdtContent>
  </w:sdt>
  <w:p w:rsidR="005835BB" w:rsidRDefault="005835B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5E7" w:rsidRDefault="005105E7" w:rsidP="005105E7">
      <w:r>
        <w:separator/>
      </w:r>
    </w:p>
  </w:footnote>
  <w:footnote w:type="continuationSeparator" w:id="0">
    <w:p w:rsidR="005105E7" w:rsidRDefault="005105E7" w:rsidP="005105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7CC"/>
    <w:multiLevelType w:val="hybridMultilevel"/>
    <w:tmpl w:val="26CE25DE"/>
    <w:lvl w:ilvl="0" w:tplc="04050011">
      <w:start w:val="1"/>
      <w:numFmt w:val="decimal"/>
      <w:lvlText w:val="%1)"/>
      <w:lvlJc w:val="left"/>
      <w:pPr>
        <w:tabs>
          <w:tab w:val="num" w:pos="362"/>
        </w:tabs>
        <w:ind w:left="362" w:hanging="360"/>
      </w:pPr>
      <w:rPr>
        <w:rFonts w:hint="default"/>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1">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4">
    <w:nsid w:val="45AA4E8E"/>
    <w:multiLevelType w:val="singleLevel"/>
    <w:tmpl w:val="04050011"/>
    <w:lvl w:ilvl="0">
      <w:start w:val="1"/>
      <w:numFmt w:val="decimal"/>
      <w:lvlText w:val="%1)"/>
      <w:lvlJc w:val="left"/>
      <w:pPr>
        <w:ind w:left="720" w:hanging="360"/>
      </w:pPr>
      <w:rPr>
        <w:rFonts w:hint="default"/>
        <w:b w:val="0"/>
        <w:i w:val="0"/>
        <w:color w:val="auto"/>
      </w:rPr>
    </w:lvl>
  </w:abstractNum>
  <w:abstractNum w:abstractNumId="5">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6">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7">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8">
    <w:nsid w:val="770717C8"/>
    <w:multiLevelType w:val="hybridMultilevel"/>
    <w:tmpl w:val="5DBE9A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9C6BB6"/>
    <w:multiLevelType w:val="multilevel"/>
    <w:tmpl w:val="452AEAF8"/>
    <w:lvl w:ilvl="0">
      <w:start w:val="5"/>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E4B4D78"/>
    <w:multiLevelType w:val="hybridMultilevel"/>
    <w:tmpl w:val="955C7530"/>
    <w:lvl w:ilvl="0" w:tplc="04050011">
      <w:start w:val="1"/>
      <w:numFmt w:val="decimal"/>
      <w:lvlText w:val="%1)"/>
      <w:lvlJc w:val="left"/>
      <w:pPr>
        <w:tabs>
          <w:tab w:val="num" w:pos="361"/>
        </w:tabs>
        <w:ind w:left="361"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3"/>
  </w:num>
  <w:num w:numId="3">
    <w:abstractNumId w:val="10"/>
  </w:num>
  <w:num w:numId="4">
    <w:abstractNumId w:val="4"/>
  </w:num>
  <w:num w:numId="5">
    <w:abstractNumId w:val="6"/>
  </w:num>
  <w:num w:numId="6">
    <w:abstractNumId w:val="5"/>
  </w:num>
  <w:num w:numId="7">
    <w:abstractNumId w:val="1"/>
  </w:num>
  <w:num w:numId="8">
    <w:abstractNumId w:val="7"/>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05E7"/>
    <w:rsid w:val="00066DD2"/>
    <w:rsid w:val="00071A9B"/>
    <w:rsid w:val="0010628F"/>
    <w:rsid w:val="00120282"/>
    <w:rsid w:val="001B3A53"/>
    <w:rsid w:val="001F32E3"/>
    <w:rsid w:val="00230794"/>
    <w:rsid w:val="002879AB"/>
    <w:rsid w:val="002B777D"/>
    <w:rsid w:val="002C1F82"/>
    <w:rsid w:val="0035397F"/>
    <w:rsid w:val="003866B3"/>
    <w:rsid w:val="00397C37"/>
    <w:rsid w:val="003A5107"/>
    <w:rsid w:val="00492A7C"/>
    <w:rsid w:val="005105E7"/>
    <w:rsid w:val="005337A7"/>
    <w:rsid w:val="00560132"/>
    <w:rsid w:val="005645B7"/>
    <w:rsid w:val="005835BB"/>
    <w:rsid w:val="005A4AD5"/>
    <w:rsid w:val="005D1676"/>
    <w:rsid w:val="0063141E"/>
    <w:rsid w:val="006B275B"/>
    <w:rsid w:val="006C569D"/>
    <w:rsid w:val="00820332"/>
    <w:rsid w:val="00827366"/>
    <w:rsid w:val="009059B8"/>
    <w:rsid w:val="00907A1D"/>
    <w:rsid w:val="0096484E"/>
    <w:rsid w:val="009B07EB"/>
    <w:rsid w:val="009F2F70"/>
    <w:rsid w:val="00A10F41"/>
    <w:rsid w:val="00A90FDD"/>
    <w:rsid w:val="00AE7884"/>
    <w:rsid w:val="00B35500"/>
    <w:rsid w:val="00B555C8"/>
    <w:rsid w:val="00BE0B7F"/>
    <w:rsid w:val="00C14239"/>
    <w:rsid w:val="00D50CC1"/>
    <w:rsid w:val="00D63BF5"/>
    <w:rsid w:val="00D8504D"/>
    <w:rsid w:val="00D92FDE"/>
    <w:rsid w:val="00E41E51"/>
    <w:rsid w:val="00E85BDE"/>
    <w:rsid w:val="00EA05F3"/>
    <w:rsid w:val="00EA4D1A"/>
    <w:rsid w:val="00F20A84"/>
    <w:rsid w:val="00F37405"/>
    <w:rsid w:val="00F779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05E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05E7"/>
    <w:pPr>
      <w:widowControl w:val="0"/>
      <w:jc w:val="center"/>
    </w:pPr>
    <w:rPr>
      <w:b/>
      <w:szCs w:val="20"/>
    </w:rPr>
  </w:style>
  <w:style w:type="character" w:customStyle="1" w:styleId="ZkladntextChar">
    <w:name w:val="Základní text Char"/>
    <w:basedOn w:val="Standardnpsmoodstavce"/>
    <w:link w:val="Zkladntext"/>
    <w:uiPriority w:val="99"/>
    <w:rsid w:val="005105E7"/>
    <w:rPr>
      <w:rFonts w:ascii="Times New Roman" w:eastAsia="Times New Roman" w:hAnsi="Times New Roman" w:cs="Times New Roman"/>
      <w:b/>
      <w:sz w:val="24"/>
      <w:szCs w:val="20"/>
      <w:lang w:eastAsia="cs-CZ"/>
    </w:rPr>
  </w:style>
  <w:style w:type="paragraph" w:styleId="Textpoznpodarou">
    <w:name w:val="footnote text"/>
    <w:basedOn w:val="Normln"/>
    <w:link w:val="TextpoznpodarouChar"/>
    <w:uiPriority w:val="99"/>
    <w:semiHidden/>
    <w:rsid w:val="005105E7"/>
    <w:rPr>
      <w:sz w:val="20"/>
      <w:szCs w:val="20"/>
    </w:rPr>
  </w:style>
  <w:style w:type="character" w:customStyle="1" w:styleId="TextpoznpodarouChar">
    <w:name w:val="Text pozn. pod čarou Char"/>
    <w:basedOn w:val="Standardnpsmoodstavce"/>
    <w:link w:val="Textpoznpodarou"/>
    <w:uiPriority w:val="99"/>
    <w:semiHidden/>
    <w:rsid w:val="005105E7"/>
    <w:rPr>
      <w:rFonts w:ascii="Times New Roman" w:eastAsia="Times New Roman" w:hAnsi="Times New Roman" w:cs="Times New Roman"/>
      <w:sz w:val="20"/>
      <w:szCs w:val="20"/>
      <w:lang w:eastAsia="cs-CZ"/>
    </w:rPr>
  </w:style>
  <w:style w:type="character" w:styleId="Znakapoznpodarou">
    <w:name w:val="footnote reference"/>
    <w:uiPriority w:val="99"/>
    <w:semiHidden/>
    <w:rsid w:val="005105E7"/>
    <w:rPr>
      <w:vertAlign w:val="superscript"/>
    </w:rPr>
  </w:style>
  <w:style w:type="paragraph" w:styleId="Odstavecseseznamem">
    <w:name w:val="List Paragraph"/>
    <w:basedOn w:val="Normln"/>
    <w:uiPriority w:val="34"/>
    <w:qFormat/>
    <w:rsid w:val="005105E7"/>
    <w:pPr>
      <w:ind w:left="708"/>
    </w:pPr>
  </w:style>
  <w:style w:type="paragraph" w:customStyle="1" w:styleId="pole">
    <w:name w:val="pole"/>
    <w:basedOn w:val="Normln"/>
    <w:qFormat/>
    <w:rsid w:val="005105E7"/>
    <w:pPr>
      <w:tabs>
        <w:tab w:val="left" w:pos="1701"/>
      </w:tabs>
      <w:ind w:left="1701" w:hanging="1701"/>
    </w:pPr>
    <w:rPr>
      <w:rFonts w:ascii="Arial" w:eastAsia="Calibri" w:hAnsi="Arial"/>
      <w:sz w:val="22"/>
      <w:szCs w:val="22"/>
      <w:lang w:eastAsia="en-US"/>
    </w:rPr>
  </w:style>
  <w:style w:type="paragraph" w:customStyle="1" w:styleId="adresa">
    <w:name w:val="adresa"/>
    <w:basedOn w:val="Normln"/>
    <w:qFormat/>
    <w:rsid w:val="005105E7"/>
    <w:pPr>
      <w:jc w:val="both"/>
    </w:pPr>
    <w:rPr>
      <w:rFonts w:ascii="Arial" w:eastAsia="Calibri" w:hAnsi="Arial"/>
      <w:b/>
      <w:sz w:val="22"/>
      <w:szCs w:val="22"/>
      <w:lang w:eastAsia="en-US"/>
    </w:rPr>
  </w:style>
  <w:style w:type="paragraph" w:customStyle="1" w:styleId="nadpis-smlouva">
    <w:name w:val="nadpis - smlouva ..."/>
    <w:basedOn w:val="Normln"/>
    <w:qFormat/>
    <w:rsid w:val="005105E7"/>
    <w:pPr>
      <w:jc w:val="center"/>
    </w:pPr>
    <w:rPr>
      <w:rFonts w:ascii="Arial" w:eastAsia="Calibri" w:hAnsi="Arial"/>
      <w:b/>
      <w:caps/>
      <w:sz w:val="28"/>
      <w:szCs w:val="22"/>
      <w:lang w:eastAsia="en-US"/>
    </w:rPr>
  </w:style>
  <w:style w:type="paragraph" w:customStyle="1" w:styleId="nadpis-bod">
    <w:name w:val="nadpis - bod"/>
    <w:basedOn w:val="nadpis-smlouva"/>
    <w:qFormat/>
    <w:rsid w:val="005105E7"/>
    <w:pPr>
      <w:spacing w:before="680" w:after="220"/>
      <w:jc w:val="left"/>
    </w:pPr>
    <w:rPr>
      <w:caps w:val="0"/>
      <w:sz w:val="24"/>
    </w:rPr>
  </w:style>
  <w:style w:type="paragraph" w:styleId="Zhlav">
    <w:name w:val="header"/>
    <w:basedOn w:val="Normln"/>
    <w:link w:val="ZhlavChar"/>
    <w:uiPriority w:val="99"/>
    <w:semiHidden/>
    <w:unhideWhenUsed/>
    <w:rsid w:val="005835BB"/>
    <w:pPr>
      <w:tabs>
        <w:tab w:val="center" w:pos="4536"/>
        <w:tab w:val="right" w:pos="9072"/>
      </w:tabs>
    </w:pPr>
  </w:style>
  <w:style w:type="character" w:customStyle="1" w:styleId="ZhlavChar">
    <w:name w:val="Záhlaví Char"/>
    <w:basedOn w:val="Standardnpsmoodstavce"/>
    <w:link w:val="Zhlav"/>
    <w:uiPriority w:val="99"/>
    <w:semiHidden/>
    <w:rsid w:val="005835B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835BB"/>
    <w:pPr>
      <w:tabs>
        <w:tab w:val="center" w:pos="4536"/>
        <w:tab w:val="right" w:pos="9072"/>
      </w:tabs>
    </w:pPr>
  </w:style>
  <w:style w:type="character" w:customStyle="1" w:styleId="ZpatChar">
    <w:name w:val="Zápatí Char"/>
    <w:basedOn w:val="Standardnpsmoodstavce"/>
    <w:link w:val="Zpat"/>
    <w:uiPriority w:val="99"/>
    <w:rsid w:val="005835BB"/>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1853</Words>
  <Characters>10938</Characters>
  <Application>Microsoft Office Word</Application>
  <DocSecurity>0</DocSecurity>
  <Lines>91</Lines>
  <Paragraphs>25</Paragraphs>
  <ScaleCrop>false</ScaleCrop>
  <Company>Krajský úřad Ústeckého kraje</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maturkanicova.r</dc:creator>
  <cp:keywords/>
  <dc:description/>
  <cp:lastModifiedBy>maturkanicova.r</cp:lastModifiedBy>
  <cp:revision>2</cp:revision>
  <dcterms:created xsi:type="dcterms:W3CDTF">2014-01-15T12:44:00Z</dcterms:created>
  <dcterms:modified xsi:type="dcterms:W3CDTF">2014-01-15T12:49:00Z</dcterms:modified>
</cp:coreProperties>
</file>