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78" w:rsidRDefault="00E21878" w:rsidP="007F100B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262255</wp:posOffset>
            </wp:positionV>
            <wp:extent cx="1657350" cy="685800"/>
            <wp:effectExtent l="19050" t="0" r="0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-594995</wp:posOffset>
            </wp:positionV>
            <wp:extent cx="819150" cy="800100"/>
            <wp:effectExtent l="19050" t="0" r="0" b="0"/>
            <wp:wrapNone/>
            <wp:docPr id="6" name="obrázek 1" descr="logo s kolmým text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4" descr="logo s kolmým text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-718820</wp:posOffset>
            </wp:positionV>
            <wp:extent cx="1981200" cy="733425"/>
            <wp:effectExtent l="1905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-394970</wp:posOffset>
            </wp:positionV>
            <wp:extent cx="2228850" cy="428625"/>
            <wp:effectExtent l="1905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878" w:rsidRDefault="00E21878" w:rsidP="007F100B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-375919</wp:posOffset>
            </wp:positionH>
            <wp:positionV relativeFrom="paragraph">
              <wp:posOffset>81915</wp:posOffset>
            </wp:positionV>
            <wp:extent cx="2228850" cy="317075"/>
            <wp:effectExtent l="19050" t="0" r="0" b="0"/>
            <wp:wrapNone/>
            <wp:docPr id="11" name="obrázek 1" descr="ChemClust_Logo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mClust_Logo_4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1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878" w:rsidRDefault="00E21878" w:rsidP="007F100B">
      <w:pPr>
        <w:jc w:val="center"/>
        <w:rPr>
          <w:b/>
          <w:sz w:val="28"/>
          <w:szCs w:val="28"/>
        </w:rPr>
      </w:pPr>
    </w:p>
    <w:p w:rsidR="00E21878" w:rsidRDefault="00E21878" w:rsidP="00E21878">
      <w:pPr>
        <w:spacing w:after="0" w:line="240" w:lineRule="auto"/>
        <w:jc w:val="center"/>
        <w:rPr>
          <w:b/>
          <w:sz w:val="36"/>
          <w:szCs w:val="36"/>
        </w:rPr>
      </w:pPr>
      <w:r w:rsidRPr="00E21878">
        <w:rPr>
          <w:b/>
          <w:sz w:val="36"/>
          <w:szCs w:val="36"/>
        </w:rPr>
        <w:t>Zápis</w:t>
      </w:r>
    </w:p>
    <w:p w:rsidR="007F100B" w:rsidRDefault="00E21878" w:rsidP="00E2187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666BD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="007F100B">
        <w:rPr>
          <w:b/>
          <w:sz w:val="28"/>
          <w:szCs w:val="28"/>
        </w:rPr>
        <w:t>4</w:t>
      </w:r>
      <w:r w:rsidR="007F100B" w:rsidRPr="002F2A35">
        <w:rPr>
          <w:b/>
          <w:sz w:val="28"/>
          <w:szCs w:val="28"/>
        </w:rPr>
        <w:t>. pracovní</w:t>
      </w:r>
      <w:r>
        <w:rPr>
          <w:b/>
          <w:sz w:val="28"/>
          <w:szCs w:val="28"/>
        </w:rPr>
        <w:t>ho</w:t>
      </w:r>
      <w:r w:rsidR="007F100B" w:rsidRPr="002F2A35">
        <w:rPr>
          <w:b/>
          <w:sz w:val="28"/>
          <w:szCs w:val="28"/>
        </w:rPr>
        <w:t xml:space="preserve"> setkání k možnostem regionální, meziregionální a mezinárodní spolupráce v chemickém průmyslu</w:t>
      </w:r>
      <w:r>
        <w:rPr>
          <w:b/>
          <w:sz w:val="28"/>
          <w:szCs w:val="28"/>
        </w:rPr>
        <w:t>.</w:t>
      </w:r>
    </w:p>
    <w:p w:rsidR="00E21878" w:rsidRDefault="00E21878" w:rsidP="00E21878">
      <w:pPr>
        <w:spacing w:after="0" w:line="240" w:lineRule="auto"/>
        <w:rPr>
          <w:sz w:val="24"/>
          <w:szCs w:val="24"/>
        </w:rPr>
      </w:pPr>
    </w:p>
    <w:p w:rsidR="00E21878" w:rsidRPr="00172456" w:rsidRDefault="00E21878" w:rsidP="00A64C25">
      <w:pPr>
        <w:tabs>
          <w:tab w:val="left" w:pos="2268"/>
        </w:tabs>
        <w:spacing w:after="0" w:line="240" w:lineRule="auto"/>
      </w:pPr>
      <w:r w:rsidRPr="00172456">
        <w:rPr>
          <w:b/>
        </w:rPr>
        <w:t>Místo a datum konání:</w:t>
      </w:r>
      <w:r w:rsidRPr="00172456">
        <w:t xml:space="preserve"> </w:t>
      </w:r>
      <w:r w:rsidR="00A64C25">
        <w:tab/>
      </w:r>
      <w:r w:rsidRPr="00172456">
        <w:t>Krajský úřad</w:t>
      </w:r>
      <w:r w:rsidR="00A64C25">
        <w:t xml:space="preserve">, </w:t>
      </w:r>
      <w:r w:rsidRPr="00172456">
        <w:t xml:space="preserve"> 13.11.2012</w:t>
      </w:r>
    </w:p>
    <w:p w:rsidR="00E21878" w:rsidRPr="00172456" w:rsidRDefault="00E21878" w:rsidP="00A64C25">
      <w:pPr>
        <w:tabs>
          <w:tab w:val="left" w:pos="2268"/>
        </w:tabs>
        <w:spacing w:after="0" w:line="240" w:lineRule="auto"/>
      </w:pPr>
      <w:r w:rsidRPr="00172456">
        <w:rPr>
          <w:b/>
        </w:rPr>
        <w:t>Zaměření:</w:t>
      </w:r>
      <w:r w:rsidRPr="00172456">
        <w:t xml:space="preserve">   </w:t>
      </w:r>
      <w:r w:rsidR="00A64C25">
        <w:tab/>
      </w:r>
      <w:r w:rsidRPr="00172456">
        <w:t>Popularizace chemie v Ústeckém regionu</w:t>
      </w:r>
    </w:p>
    <w:p w:rsidR="00E21878" w:rsidRPr="00172456" w:rsidRDefault="00E21878" w:rsidP="00A64C25">
      <w:pPr>
        <w:tabs>
          <w:tab w:val="left" w:pos="2268"/>
        </w:tabs>
        <w:spacing w:after="0" w:line="240" w:lineRule="auto"/>
      </w:pPr>
      <w:r w:rsidRPr="00172456">
        <w:rPr>
          <w:b/>
        </w:rPr>
        <w:t>Přítomno:</w:t>
      </w:r>
      <w:r w:rsidRPr="00172456">
        <w:t xml:space="preserve">   </w:t>
      </w:r>
      <w:r w:rsidR="00A64C25">
        <w:tab/>
      </w:r>
      <w:r w:rsidR="004732B1" w:rsidRPr="00172456">
        <w:t>29</w:t>
      </w:r>
      <w:r w:rsidRPr="00172456">
        <w:t xml:space="preserve"> – dle prezenční listiny</w:t>
      </w:r>
    </w:p>
    <w:p w:rsidR="00E21878" w:rsidRDefault="00EB7EA4" w:rsidP="00A64C25">
      <w:pPr>
        <w:tabs>
          <w:tab w:val="left" w:pos="2268"/>
        </w:tabs>
        <w:spacing w:after="0" w:line="240" w:lineRule="auto"/>
      </w:pPr>
      <w:r w:rsidRPr="00172456">
        <w:rPr>
          <w:b/>
        </w:rPr>
        <w:t>Moderátor:</w:t>
      </w:r>
      <w:r w:rsidR="00A64C25">
        <w:rPr>
          <w:i/>
        </w:rPr>
        <w:tab/>
      </w:r>
      <w:r w:rsidRPr="00172456">
        <w:t xml:space="preserve"> Ing. Jan Sixta, CSc.</w:t>
      </w:r>
    </w:p>
    <w:p w:rsidR="00A64C25" w:rsidRPr="00172456" w:rsidRDefault="00A64C25" w:rsidP="006C5675">
      <w:pPr>
        <w:spacing w:after="0" w:line="240" w:lineRule="auto"/>
      </w:pPr>
    </w:p>
    <w:p w:rsidR="00EB7EA4" w:rsidRPr="00172456" w:rsidRDefault="007E649C" w:rsidP="006C5675">
      <w:pPr>
        <w:spacing w:after="0" w:line="240" w:lineRule="auto"/>
        <w:rPr>
          <w:b/>
        </w:rPr>
      </w:pPr>
      <w:r w:rsidRPr="00172456">
        <w:rPr>
          <w:b/>
        </w:rPr>
        <w:t>Program a p</w:t>
      </w:r>
      <w:r w:rsidR="00EB7EA4" w:rsidRPr="00172456">
        <w:rPr>
          <w:b/>
        </w:rPr>
        <w:t>růběh jednání:</w:t>
      </w:r>
    </w:p>
    <w:p w:rsidR="00EB7EA4" w:rsidRDefault="00EB7EA4" w:rsidP="006C090B">
      <w:pPr>
        <w:spacing w:after="0" w:line="240" w:lineRule="auto"/>
        <w:jc w:val="both"/>
      </w:pPr>
      <w:r w:rsidRPr="00172456">
        <w:t xml:space="preserve">- </w:t>
      </w:r>
      <w:r w:rsidR="004732B1" w:rsidRPr="00172456">
        <w:rPr>
          <w:i/>
        </w:rPr>
        <w:t>Ú</w:t>
      </w:r>
      <w:r w:rsidRPr="00172456">
        <w:rPr>
          <w:i/>
        </w:rPr>
        <w:t xml:space="preserve">vod a přivítání </w:t>
      </w:r>
      <w:r w:rsidR="007E649C" w:rsidRPr="00172456">
        <w:rPr>
          <w:i/>
        </w:rPr>
        <w:t>účastníků</w:t>
      </w:r>
      <w:r w:rsidR="00C92647">
        <w:t xml:space="preserve"> -</w:t>
      </w:r>
      <w:r w:rsidR="007E649C" w:rsidRPr="00172456">
        <w:t xml:space="preserve"> </w:t>
      </w:r>
      <w:r w:rsidRPr="00172456">
        <w:t>provedl zástupce ředitele  KÚ Ing. Jaroslav Pikal.</w:t>
      </w:r>
    </w:p>
    <w:p w:rsidR="00A64C25" w:rsidRPr="00172456" w:rsidRDefault="00A64C25" w:rsidP="006C090B">
      <w:pPr>
        <w:spacing w:after="0" w:line="240" w:lineRule="auto"/>
        <w:jc w:val="both"/>
      </w:pPr>
    </w:p>
    <w:p w:rsidR="00A05D9E" w:rsidRPr="00172456" w:rsidRDefault="00EB7EA4" w:rsidP="006C090B">
      <w:pPr>
        <w:tabs>
          <w:tab w:val="left" w:pos="142"/>
        </w:tabs>
        <w:spacing w:after="0" w:line="240" w:lineRule="auto"/>
        <w:jc w:val="both"/>
        <w:rPr>
          <w:bCs/>
        </w:rPr>
      </w:pPr>
      <w:r w:rsidRPr="00172456">
        <w:t>-</w:t>
      </w:r>
      <w:r w:rsidR="006C5675" w:rsidRPr="00172456">
        <w:t xml:space="preserve"> </w:t>
      </w:r>
      <w:r w:rsidR="004732B1" w:rsidRPr="00172456">
        <w:rPr>
          <w:i/>
        </w:rPr>
        <w:t>Aktivity S</w:t>
      </w:r>
      <w:r w:rsidR="007E649C" w:rsidRPr="00172456">
        <w:rPr>
          <w:i/>
        </w:rPr>
        <w:t>vazu chemického průmyslu</w:t>
      </w:r>
      <w:r w:rsidR="004732B1" w:rsidRPr="00172456">
        <w:rPr>
          <w:i/>
        </w:rPr>
        <w:t xml:space="preserve"> ČR v oblasti popularizace chemie a chemického průmyslu</w:t>
      </w:r>
      <w:r w:rsidR="00C92647">
        <w:t>.</w:t>
      </w:r>
      <w:r w:rsidR="004732B1" w:rsidRPr="00172456">
        <w:t xml:space="preserve"> </w:t>
      </w:r>
      <w:r w:rsidR="007E649C" w:rsidRPr="00172456">
        <w:br/>
        <w:t>Ing. Jiří Reiss (SCHP) ve své prezentaci zmínil</w:t>
      </w:r>
      <w:r w:rsidR="00A05D9E" w:rsidRPr="00172456">
        <w:t xml:space="preserve">, že </w:t>
      </w:r>
      <w:r w:rsidR="00A05D9E" w:rsidRPr="00172456">
        <w:rPr>
          <w:bCs/>
        </w:rPr>
        <w:t xml:space="preserve">chemický průmysl je třetí nejvýznamnější </w:t>
      </w:r>
      <w:r w:rsidR="00A05D9E" w:rsidRPr="00172456">
        <w:rPr>
          <w:bCs/>
        </w:rPr>
        <w:br/>
        <w:t>průmyslový sektor v ČR – 14 %  HDP, tržby přes 380 mld. Kč, 105 000 zaměstnaných přímo.</w:t>
      </w:r>
    </w:p>
    <w:p w:rsidR="00A05D9E" w:rsidRPr="00172456" w:rsidRDefault="00A05D9E" w:rsidP="006C090B">
      <w:pPr>
        <w:tabs>
          <w:tab w:val="left" w:pos="142"/>
        </w:tabs>
        <w:spacing w:after="0" w:line="240" w:lineRule="auto"/>
        <w:jc w:val="both"/>
        <w:rPr>
          <w:bCs/>
        </w:rPr>
      </w:pPr>
      <w:r w:rsidRPr="00172456">
        <w:rPr>
          <w:bCs/>
        </w:rPr>
        <w:t xml:space="preserve">Z chemických regionů ČR patří ústecký k nejvýznamnějším. Je zapojen do projektů, zaměřených na </w:t>
      </w:r>
      <w:r w:rsidR="00CA19F7" w:rsidRPr="00172456">
        <w:rPr>
          <w:bCs/>
        </w:rPr>
        <w:br/>
      </w:r>
      <w:r w:rsidRPr="00172456">
        <w:rPr>
          <w:bCs/>
        </w:rPr>
        <w:t xml:space="preserve">spolupráci chemických regionů v Evropě – ECRN, ChemLog, ChemClust. </w:t>
      </w:r>
    </w:p>
    <w:p w:rsidR="00A64724" w:rsidRPr="00172456" w:rsidRDefault="00CA19F7" w:rsidP="006C090B">
      <w:pPr>
        <w:tabs>
          <w:tab w:val="left" w:pos="142"/>
        </w:tabs>
        <w:spacing w:after="0" w:line="240" w:lineRule="auto"/>
        <w:jc w:val="both"/>
      </w:pPr>
      <w:r w:rsidRPr="00172456">
        <w:rPr>
          <w:bCs/>
        </w:rPr>
        <w:t xml:space="preserve">V oblasti popularizace chemie realizuje </w:t>
      </w:r>
      <w:r w:rsidR="00A64724" w:rsidRPr="00172456">
        <w:rPr>
          <w:bCs/>
        </w:rPr>
        <w:t>SCHP projekt Vzděláváním ke</w:t>
      </w:r>
      <w:r w:rsidR="00100AA8" w:rsidRPr="00172456">
        <w:rPr>
          <w:bCs/>
        </w:rPr>
        <w:t xml:space="preserve"> </w:t>
      </w:r>
      <w:r w:rsidR="00A64724" w:rsidRPr="00172456">
        <w:rPr>
          <w:bCs/>
        </w:rPr>
        <w:t xml:space="preserve">konkurenceschopnosti  </w:t>
      </w:r>
      <w:r w:rsidR="00A64724" w:rsidRPr="00172456">
        <w:rPr>
          <w:bCs/>
        </w:rPr>
        <w:br/>
        <w:t>chemického průmyslu v ČR (ESF)</w:t>
      </w:r>
      <w:r w:rsidR="00A64724" w:rsidRPr="00172456">
        <w:t xml:space="preserve"> </w:t>
      </w:r>
      <w:r w:rsidR="00A64724" w:rsidRPr="00172456">
        <w:rPr>
          <w:b/>
          <w:bCs/>
        </w:rPr>
        <w:t xml:space="preserve"> (</w:t>
      </w:r>
      <w:r w:rsidR="00172456" w:rsidRPr="00172456">
        <w:t xml:space="preserve"> </w:t>
      </w:r>
      <w:hyperlink r:id="rId12" w:history="1">
        <w:r w:rsidR="00A64724" w:rsidRPr="00172456">
          <w:rPr>
            <w:rStyle w:val="Hypertextovodkaz"/>
            <w:bCs/>
          </w:rPr>
          <w:t>http://www.schp-konkurenceschopnost.</w:t>
        </w:r>
      </w:hyperlink>
      <w:hyperlink r:id="rId13" w:history="1">
        <w:r w:rsidR="00A64724" w:rsidRPr="00172456">
          <w:rPr>
            <w:rStyle w:val="Hypertextovodkaz"/>
            <w:bCs/>
          </w:rPr>
          <w:t>cz</w:t>
        </w:r>
      </w:hyperlink>
      <w:hyperlink r:id="rId14" w:history="1">
        <w:r w:rsidR="00A64724" w:rsidRPr="00172456">
          <w:rPr>
            <w:rStyle w:val="Hypertextovodkaz"/>
            <w:bCs/>
          </w:rPr>
          <w:t>/</w:t>
        </w:r>
      </w:hyperlink>
      <w:r w:rsidR="00A64724" w:rsidRPr="00172456">
        <w:t xml:space="preserve"> ). Z Ústeckého kraje  </w:t>
      </w:r>
      <w:r w:rsidR="00A64724" w:rsidRPr="00172456">
        <w:br/>
        <w:t xml:space="preserve">jsou do tohoto projektu zapojeni Unipetrol RPA, Spolchemie, VÚAnCh a </w:t>
      </w:r>
      <w:proofErr w:type="spellStart"/>
      <w:r w:rsidR="00A64724" w:rsidRPr="00172456">
        <w:t>Glanzstoff</w:t>
      </w:r>
      <w:proofErr w:type="spellEnd"/>
      <w:r w:rsidR="00A64724" w:rsidRPr="00172456">
        <w:t xml:space="preserve">. Dále organizuje </w:t>
      </w:r>
      <w:r w:rsidR="00A64724" w:rsidRPr="00172456">
        <w:br/>
        <w:t xml:space="preserve">celostátní soutěž Mladý chemik. Za Ústecký kraj se soutěže účastní </w:t>
      </w:r>
      <w:r w:rsidR="00A64724" w:rsidRPr="00172456">
        <w:rPr>
          <w:bCs/>
        </w:rPr>
        <w:t>S</w:t>
      </w:r>
      <w:r w:rsidR="006C090B" w:rsidRPr="00172456">
        <w:rPr>
          <w:bCs/>
        </w:rPr>
        <w:t>P</w:t>
      </w:r>
      <w:r w:rsidR="00A64724" w:rsidRPr="00172456">
        <w:rPr>
          <w:bCs/>
        </w:rPr>
        <w:t xml:space="preserve">Š </w:t>
      </w:r>
      <w:r w:rsidR="00981180" w:rsidRPr="00172456">
        <w:rPr>
          <w:bCs/>
        </w:rPr>
        <w:t xml:space="preserve">Ústí </w:t>
      </w:r>
      <w:r w:rsidR="00A64724" w:rsidRPr="00172456">
        <w:rPr>
          <w:bCs/>
        </w:rPr>
        <w:t xml:space="preserve">nad Labem, </w:t>
      </w:r>
      <w:proofErr w:type="spellStart"/>
      <w:r w:rsidR="00A64724" w:rsidRPr="00172456">
        <w:rPr>
          <w:bCs/>
        </w:rPr>
        <w:t>Educhem</w:t>
      </w:r>
      <w:proofErr w:type="spellEnd"/>
      <w:r w:rsidR="00A64724" w:rsidRPr="00172456">
        <w:rPr>
          <w:bCs/>
        </w:rPr>
        <w:t xml:space="preserve"> </w:t>
      </w:r>
      <w:r w:rsidR="005E1CE9" w:rsidRPr="00172456">
        <w:rPr>
          <w:bCs/>
        </w:rPr>
        <w:t xml:space="preserve"> </w:t>
      </w:r>
      <w:r w:rsidR="005E1CE9" w:rsidRPr="00172456">
        <w:rPr>
          <w:bCs/>
        </w:rPr>
        <w:br/>
      </w:r>
      <w:proofErr w:type="spellStart"/>
      <w:r w:rsidR="00A64724" w:rsidRPr="00172456">
        <w:rPr>
          <w:bCs/>
        </w:rPr>
        <w:t>Meziboří</w:t>
      </w:r>
      <w:proofErr w:type="spellEnd"/>
      <w:r w:rsidR="00A64724" w:rsidRPr="00172456">
        <w:rPr>
          <w:bCs/>
        </w:rPr>
        <w:t>, S</w:t>
      </w:r>
      <w:r w:rsidR="006C090B" w:rsidRPr="00172456">
        <w:rPr>
          <w:bCs/>
        </w:rPr>
        <w:t>P</w:t>
      </w:r>
      <w:r w:rsidR="00A64724" w:rsidRPr="00172456">
        <w:rPr>
          <w:bCs/>
        </w:rPr>
        <w:t xml:space="preserve">Š Lovosice), </w:t>
      </w:r>
      <w:r w:rsidR="006C090B" w:rsidRPr="00172456">
        <w:rPr>
          <w:bCs/>
        </w:rPr>
        <w:t xml:space="preserve">záštitu </w:t>
      </w:r>
      <w:r w:rsidR="00A64724" w:rsidRPr="00172456">
        <w:rPr>
          <w:bCs/>
        </w:rPr>
        <w:t>převzala Lovochemie, Unipetrol a Spolchemie (</w:t>
      </w:r>
      <w:hyperlink r:id="rId15" w:history="1">
        <w:r w:rsidR="00A64724" w:rsidRPr="00172456">
          <w:rPr>
            <w:rStyle w:val="Hypertextovodkaz"/>
            <w:bCs/>
          </w:rPr>
          <w:t>www.</w:t>
        </w:r>
      </w:hyperlink>
      <w:hyperlink r:id="rId16" w:history="1">
        <w:r w:rsidR="00A64724" w:rsidRPr="00172456">
          <w:rPr>
            <w:rStyle w:val="Hypertextovodkaz"/>
            <w:bCs/>
          </w:rPr>
          <w:t>nejchemik.cz</w:t>
        </w:r>
      </w:hyperlink>
      <w:r w:rsidR="00A64724" w:rsidRPr="00172456">
        <w:t xml:space="preserve"> ).</w:t>
      </w:r>
      <w:r w:rsidR="00A64724" w:rsidRPr="00172456">
        <w:rPr>
          <w:bCs/>
        </w:rPr>
        <w:t xml:space="preserve"> </w:t>
      </w:r>
    </w:p>
    <w:p w:rsidR="005E1CE9" w:rsidRDefault="005E1CE9" w:rsidP="006C090B">
      <w:pPr>
        <w:tabs>
          <w:tab w:val="left" w:pos="142"/>
        </w:tabs>
        <w:spacing w:after="0" w:line="240" w:lineRule="auto"/>
        <w:jc w:val="both"/>
      </w:pPr>
      <w:r w:rsidRPr="00172456">
        <w:t>Na dotaz (Ing.</w:t>
      </w:r>
      <w:r w:rsidR="006C090B" w:rsidRPr="00172456">
        <w:t xml:space="preserve"> </w:t>
      </w:r>
      <w:proofErr w:type="spellStart"/>
      <w:r w:rsidRPr="00172456">
        <w:t>Lauterbach</w:t>
      </w:r>
      <w:proofErr w:type="spellEnd"/>
      <w:r w:rsidRPr="00172456">
        <w:t xml:space="preserve">, PřF UJEP) na konkrétní podporu inovací, odpověděl Ing. Reiss, že SCHP </w:t>
      </w:r>
      <w:r w:rsidR="006C5675" w:rsidRPr="00172456">
        <w:t>i</w:t>
      </w:r>
      <w:r w:rsidRPr="00172456">
        <w:t>nicioval vznik 3 platforem (ČTP Su</w:t>
      </w:r>
      <w:r w:rsidR="00800012" w:rsidRPr="00172456">
        <w:t>sC</w:t>
      </w:r>
      <w:r w:rsidRPr="00172456">
        <w:t>hem</w:t>
      </w:r>
      <w:r w:rsidR="00800012" w:rsidRPr="00172456">
        <w:t>, Plasty, Biosložky</w:t>
      </w:r>
      <w:r w:rsidRPr="00172456">
        <w:t xml:space="preserve">), které by měly vytvořit most mezi základním výzkumem </w:t>
      </w:r>
      <w:r w:rsidR="006C090B" w:rsidRPr="00172456">
        <w:t xml:space="preserve">a </w:t>
      </w:r>
      <w:r w:rsidRPr="00172456">
        <w:t>praktickou aplikací.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6C5675" w:rsidRDefault="005E1CE9" w:rsidP="006C090B">
      <w:pPr>
        <w:tabs>
          <w:tab w:val="left" w:pos="142"/>
        </w:tabs>
        <w:spacing w:after="0" w:line="240" w:lineRule="auto"/>
        <w:jc w:val="both"/>
      </w:pPr>
      <w:r w:rsidRPr="00172456">
        <w:t>-</w:t>
      </w:r>
      <w:r w:rsidR="006C5675" w:rsidRPr="00172456">
        <w:rPr>
          <w:i/>
        </w:rPr>
        <w:t xml:space="preserve"> </w:t>
      </w:r>
      <w:r w:rsidRPr="00172456">
        <w:rPr>
          <w:i/>
        </w:rPr>
        <w:t>Řešení projektu ChemClust</w:t>
      </w:r>
      <w:r w:rsidR="00800012" w:rsidRPr="00172456">
        <w:rPr>
          <w:i/>
        </w:rPr>
        <w:t xml:space="preserve">. </w:t>
      </w:r>
      <w:r w:rsidR="00800012" w:rsidRPr="00172456">
        <w:t>Ing. Knespl (KÚÚK) informoval o projektu ChemClust, který koncem letošního roku končí. Jedním ze závěrů je, že o vytvoření klastru v kraji není v současné době zájem, především ve výrobní sféře. Z kladných závěrů je nutno zmínit pravidelná setkání klíčových hráčů kraje (výroba, školství, věda a výzkum). V rámci projek</w:t>
      </w:r>
      <w:r w:rsidR="00DB10AC" w:rsidRPr="00172456">
        <w:t>t</w:t>
      </w:r>
      <w:r w:rsidR="00800012" w:rsidRPr="00172456">
        <w:t>u byla realizována čtyři</w:t>
      </w:r>
      <w:r w:rsidR="00DB10AC" w:rsidRPr="00172456">
        <w:t xml:space="preserve"> </w:t>
      </w:r>
      <w:r w:rsidR="00172456" w:rsidRPr="00172456">
        <w:t xml:space="preserve">setkání </w:t>
      </w:r>
      <w:r w:rsidR="00DB10AC" w:rsidRPr="00172456">
        <w:t xml:space="preserve">a bude snaha v </w:t>
      </w:r>
      <w:r w:rsidR="00172456" w:rsidRPr="00172456">
        <w:t xml:space="preserve">nich </w:t>
      </w:r>
      <w:r w:rsidR="00DB10AC" w:rsidRPr="00172456">
        <w:t>pokračovat. Závěry projektu budou předány politickým představitelům kraje a budou zapracovány do strategických dokumentů ÚK (PRÚK, Akční plán VVI, Regionální inovační strategie).</w:t>
      </w:r>
      <w:r w:rsidR="00DB10AC" w:rsidRPr="00172456">
        <w:br/>
        <w:t>Cílem je získat větší politick</w:t>
      </w:r>
      <w:r w:rsidR="00172456" w:rsidRPr="00172456">
        <w:t xml:space="preserve">ou podporu </w:t>
      </w:r>
      <w:r w:rsidR="00DB10AC" w:rsidRPr="00172456">
        <w:t xml:space="preserve"> pro </w:t>
      </w:r>
      <w:r w:rsidR="00172456" w:rsidRPr="00172456">
        <w:t>rozvoj</w:t>
      </w:r>
      <w:r w:rsidR="00DB10AC" w:rsidRPr="00172456">
        <w:t xml:space="preserve"> chemie</w:t>
      </w:r>
      <w:r w:rsidR="006C5675" w:rsidRPr="00172456">
        <w:t xml:space="preserve">, </w:t>
      </w:r>
      <w:r w:rsidR="00DB10AC" w:rsidRPr="00172456">
        <w:t>propagac</w:t>
      </w:r>
      <w:r w:rsidR="006C5675" w:rsidRPr="00172456">
        <w:t>i</w:t>
      </w:r>
      <w:r w:rsidR="00DB10AC" w:rsidRPr="00172456">
        <w:t xml:space="preserve"> a podpor</w:t>
      </w:r>
      <w:r w:rsidR="006C5675" w:rsidRPr="00172456">
        <w:t>u</w:t>
      </w:r>
      <w:r w:rsidR="00DB10AC" w:rsidRPr="00172456">
        <w:t xml:space="preserve"> chemických aktivit a vzdělávacích programů</w:t>
      </w:r>
      <w:r w:rsidR="006C5675" w:rsidRPr="00172456">
        <w:t>.  Měla by pokračovat spolupráce na základě smluv se zájmovými subjekty, např. SCHP ČR, NCA, hospodářské komory a spolupráce na evropské úrovni v rámci Evropské sítě</w:t>
      </w:r>
      <w:r w:rsidR="006C090B" w:rsidRPr="00172456">
        <w:t xml:space="preserve"> </w:t>
      </w:r>
      <w:r w:rsidR="006C5675" w:rsidRPr="00172456">
        <w:t>chemických regionů (ECRN).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EB39E8" w:rsidRDefault="006C5675" w:rsidP="006C090B">
      <w:pPr>
        <w:tabs>
          <w:tab w:val="left" w:pos="142"/>
        </w:tabs>
        <w:spacing w:after="0" w:line="240" w:lineRule="auto"/>
        <w:jc w:val="both"/>
      </w:pPr>
      <w:r w:rsidRPr="00172456">
        <w:t xml:space="preserve">-  </w:t>
      </w:r>
      <w:r w:rsidRPr="00172456">
        <w:rPr>
          <w:i/>
        </w:rPr>
        <w:t xml:space="preserve">UJEP – projekty věnované popularizaci přírodních věd.  </w:t>
      </w:r>
      <w:r w:rsidRPr="00172456">
        <w:t>Ing. Kolská, Ph.D. (PřF UJEP) prezentovala řadu zajímavých akcí</w:t>
      </w:r>
      <w:r w:rsidR="00312827" w:rsidRPr="00172456">
        <w:t>,</w:t>
      </w:r>
      <w:r w:rsidRPr="00172456">
        <w:t xml:space="preserve"> které </w:t>
      </w:r>
      <w:r w:rsidR="00312827" w:rsidRPr="00172456">
        <w:t xml:space="preserve">byly věnovány široké veřejnosti, ale i partnerům ze společných aktivit. Fakulta je zapojena do dalších projektů – PARNET (síť spolupracujících subjektů), INPOK (zvýšení konkurenceschopnosti) a PROTRANSFER (technologie, </w:t>
      </w:r>
      <w:proofErr w:type="spellStart"/>
      <w:r w:rsidR="00312827" w:rsidRPr="00172456">
        <w:t>know</w:t>
      </w:r>
      <w:proofErr w:type="spellEnd"/>
      <w:r w:rsidR="00312827" w:rsidRPr="00172456">
        <w:t>-</w:t>
      </w:r>
      <w:proofErr w:type="spellStart"/>
      <w:r w:rsidR="00312827" w:rsidRPr="00172456">
        <w:t>how</w:t>
      </w:r>
      <w:proofErr w:type="spellEnd"/>
      <w:r w:rsidR="00312827" w:rsidRPr="00172456">
        <w:t xml:space="preserve">). V rámci popularizace chemie </w:t>
      </w:r>
      <w:r w:rsidR="00312827" w:rsidRPr="00172456">
        <w:lastRenderedPageBreak/>
        <w:t xml:space="preserve">vyjíždějí </w:t>
      </w:r>
      <w:r w:rsidR="006C090B" w:rsidRPr="00172456">
        <w:t xml:space="preserve">bývalí studenti </w:t>
      </w:r>
      <w:r w:rsidR="00312827" w:rsidRPr="00172456">
        <w:t>fakulty</w:t>
      </w:r>
      <w:r w:rsidR="006C090B" w:rsidRPr="00172456">
        <w:t xml:space="preserve"> </w:t>
      </w:r>
      <w:r w:rsidR="00312827" w:rsidRPr="00172456">
        <w:t xml:space="preserve">do škol i na veřejnost se zajímavými chemickými pokusy, organizují letní školy pro žáky a studenty ZŠ a SŠ a </w:t>
      </w:r>
      <w:r w:rsidR="0028372A" w:rsidRPr="00172456">
        <w:t xml:space="preserve">jsou se svými aktivitami zapojeni i do </w:t>
      </w:r>
      <w:r w:rsidR="00312827" w:rsidRPr="00172456">
        <w:t>TAU (</w:t>
      </w:r>
      <w:proofErr w:type="spellStart"/>
      <w:r w:rsidR="00312827" w:rsidRPr="00172456">
        <w:t>Teen</w:t>
      </w:r>
      <w:proofErr w:type="spellEnd"/>
      <w:r w:rsidR="00312827" w:rsidRPr="00172456">
        <w:t xml:space="preserve"> </w:t>
      </w:r>
      <w:proofErr w:type="spellStart"/>
      <w:r w:rsidR="00312827" w:rsidRPr="00172456">
        <w:t>Age</w:t>
      </w:r>
      <w:proofErr w:type="spellEnd"/>
      <w:r w:rsidR="00312827" w:rsidRPr="00172456">
        <w:t xml:space="preserve"> University)</w:t>
      </w:r>
      <w:r w:rsidR="002B7FA5" w:rsidRPr="00172456">
        <w:t xml:space="preserve"> </w:t>
      </w:r>
      <w:r w:rsidR="00312827" w:rsidRPr="00172456">
        <w:t>(</w:t>
      </w:r>
      <w:hyperlink r:id="rId17" w:history="1">
        <w:r w:rsidR="00EB39E8" w:rsidRPr="00172456">
          <w:rPr>
            <w:rStyle w:val="Hypertextovodkaz"/>
          </w:rPr>
          <w:t>http://open.ujep.cz</w:t>
        </w:r>
      </w:hyperlink>
      <w:r w:rsidR="00EB39E8" w:rsidRPr="00172456">
        <w:t xml:space="preserve">). </w:t>
      </w:r>
      <w:r w:rsidR="00693E5A" w:rsidRPr="00172456">
        <w:t>Spojení s</w:t>
      </w:r>
      <w:r w:rsidR="008E4698" w:rsidRPr="00172456">
        <w:t> </w:t>
      </w:r>
      <w:r w:rsidR="00693E5A" w:rsidRPr="00172456">
        <w:t>výzkumem</w:t>
      </w:r>
      <w:r w:rsidR="008E4698" w:rsidRPr="00172456">
        <w:t xml:space="preserve">, </w:t>
      </w:r>
      <w:r w:rsidR="00693E5A" w:rsidRPr="00172456">
        <w:t xml:space="preserve"> vědou </w:t>
      </w:r>
      <w:r w:rsidR="008E4698" w:rsidRPr="00172456">
        <w:t xml:space="preserve">a praxí </w:t>
      </w:r>
      <w:r w:rsidR="00693E5A" w:rsidRPr="00172456">
        <w:t xml:space="preserve">zajišťuje Ústecké materiálové centrum, </w:t>
      </w:r>
      <w:hyperlink r:id="rId18" w:history="1">
        <w:r w:rsidR="00693E5A" w:rsidRPr="00172456">
          <w:rPr>
            <w:rStyle w:val="Hypertextovodkaz"/>
          </w:rPr>
          <w:t>http://umc.ujep.cz</w:t>
        </w:r>
      </w:hyperlink>
      <w:r w:rsidR="00693E5A" w:rsidRPr="00172456">
        <w:t>, které je organizační složkou PřF UJEP.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6814AC" w:rsidRDefault="00693E5A" w:rsidP="006C090B">
      <w:pPr>
        <w:tabs>
          <w:tab w:val="left" w:pos="142"/>
        </w:tabs>
        <w:spacing w:after="0" w:line="240" w:lineRule="auto"/>
        <w:jc w:val="both"/>
      </w:pPr>
      <w:r w:rsidRPr="00172456">
        <w:rPr>
          <w:i/>
        </w:rPr>
        <w:t xml:space="preserve">- Aktivity odboru Regionálního rozvoje KÚ k popularizaci chemie. </w:t>
      </w:r>
      <w:r w:rsidRPr="00172456">
        <w:t xml:space="preserve">Ing. Minářová představila základní strategické dokumenty ÚK, které </w:t>
      </w:r>
      <w:r w:rsidR="002B16E0" w:rsidRPr="00172456">
        <w:t xml:space="preserve">jsou v současné době aktualizovány. Jedná se především o </w:t>
      </w:r>
      <w:r w:rsidR="002B16E0" w:rsidRPr="00172456">
        <w:rPr>
          <w:bCs/>
        </w:rPr>
        <w:t>Program rozvoje Ústeckého kraje 2014-2020</w:t>
      </w:r>
      <w:r w:rsidR="002B16E0" w:rsidRPr="00172456">
        <w:t xml:space="preserve">, což je základní střednědobý programový dokument a </w:t>
      </w:r>
      <w:r w:rsidR="006814AC" w:rsidRPr="00172456">
        <w:t xml:space="preserve">bude </w:t>
      </w:r>
      <w:r w:rsidR="002B16E0" w:rsidRPr="00172456">
        <w:t>slouž</w:t>
      </w:r>
      <w:r w:rsidR="006814AC" w:rsidRPr="00172456">
        <w:t>it</w:t>
      </w:r>
      <w:r w:rsidR="002B16E0" w:rsidRPr="00172456">
        <w:t xml:space="preserve"> jako podklad pro rozdělování finančních prostředků v ÚK z fondů Evropské unie v období </w:t>
      </w:r>
      <w:r w:rsidR="006814AC" w:rsidRPr="00172456">
        <w:t xml:space="preserve"> 2</w:t>
      </w:r>
      <w:r w:rsidR="002B16E0" w:rsidRPr="00172456">
        <w:t>014-2020.</w:t>
      </w:r>
      <w:r w:rsidR="006814AC" w:rsidRPr="00172456">
        <w:t xml:space="preserve"> Dalšími dokumenty jsou Regionální inovační strategie ÚK (aktualizace 2013, dokončení 2014, pro období 2015-2020), Akční plán podpory rozvoje výzkumu a vývoje (návaznost na RIS ÚK, 2007) a Akční plán Strategie rozvoje vědy, výzkumu a inovací Ústeckého kraje 2010-2012.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3767AB" w:rsidRPr="00172456" w:rsidRDefault="006814AC" w:rsidP="006C090B">
      <w:pPr>
        <w:tabs>
          <w:tab w:val="left" w:pos="142"/>
        </w:tabs>
        <w:spacing w:after="0" w:line="240" w:lineRule="auto"/>
        <w:jc w:val="both"/>
      </w:pPr>
      <w:r w:rsidRPr="00172456">
        <w:t xml:space="preserve">- </w:t>
      </w:r>
      <w:r w:rsidRPr="00172456">
        <w:rPr>
          <w:i/>
        </w:rPr>
        <w:t>Cesta za tajemstvím ropy</w:t>
      </w:r>
      <w:r w:rsidRPr="00172456">
        <w:t>. Ing. Vágnerová (Ekologické centrum Most) prezentovala projekt Unipetrolu RPA a Ekologického centra Most, jehož výsledkem je</w:t>
      </w:r>
      <w:r w:rsidRPr="00172456">
        <w:rPr>
          <w:i/>
          <w:color w:val="676D6F"/>
        </w:rPr>
        <w:t xml:space="preserve"> </w:t>
      </w:r>
      <w:r w:rsidRPr="00172456">
        <w:t xml:space="preserve">interaktivní vzdělávací program, který zábavnou a atraktivní formou znázorňuje chemické výrobní procesy v Chemparku Záluží. </w:t>
      </w:r>
      <w:r w:rsidR="003767AB" w:rsidRPr="00172456">
        <w:t xml:space="preserve"> Cílovou skupinou jsou žáci 8.</w:t>
      </w:r>
      <w:r w:rsidR="008E4698" w:rsidRPr="00172456">
        <w:t xml:space="preserve"> a </w:t>
      </w:r>
      <w:r w:rsidR="003767AB" w:rsidRPr="00172456">
        <w:t>9. tříd ZŠ a studenti 1.</w:t>
      </w:r>
      <w:r w:rsidR="008E4698" w:rsidRPr="00172456">
        <w:t xml:space="preserve"> </w:t>
      </w:r>
      <w:r w:rsidR="003767AB" w:rsidRPr="00172456">
        <w:t xml:space="preserve">a 2. ročníku SŠ.  </w:t>
      </w:r>
      <w:r w:rsidRPr="00172456">
        <w:t xml:space="preserve">Je zpracován jako animovaný interaktivní příběh. </w:t>
      </w:r>
      <w:r w:rsidR="003767AB" w:rsidRPr="00172456">
        <w:t xml:space="preserve">Program je k dispozici na </w:t>
      </w:r>
      <w:hyperlink r:id="rId19" w:history="1">
        <w:r w:rsidR="003767AB" w:rsidRPr="00172456">
          <w:rPr>
            <w:rStyle w:val="Hypertextovodkaz"/>
          </w:rPr>
          <w:t>http://www.unipetrol.cz</w:t>
        </w:r>
      </w:hyperlink>
      <w:r w:rsidR="003767AB" w:rsidRPr="00172456">
        <w:t>.</w:t>
      </w:r>
    </w:p>
    <w:p w:rsidR="0074299B" w:rsidRDefault="003767AB" w:rsidP="006C090B">
      <w:pPr>
        <w:tabs>
          <w:tab w:val="left" w:pos="142"/>
        </w:tabs>
        <w:spacing w:after="0" w:line="240" w:lineRule="auto"/>
        <w:jc w:val="both"/>
      </w:pPr>
      <w:r w:rsidRPr="00172456">
        <w:t>Ing. Vágnerová nabídla možnost školení</w:t>
      </w:r>
      <w:r w:rsidR="0074299B" w:rsidRPr="00172456">
        <w:t xml:space="preserve"> pro využívání tohoto programu. Diskuze k tomuto bodu jednoznačně ukázala, že by se program měl co nejvíce rozšířit do škol. Důležitou roli by zde mohl sehrát školský odbor ÚK.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DB7E1B" w:rsidRDefault="0074299B" w:rsidP="006C090B">
      <w:pPr>
        <w:tabs>
          <w:tab w:val="left" w:pos="142"/>
        </w:tabs>
        <w:spacing w:after="0" w:line="240" w:lineRule="auto"/>
        <w:jc w:val="both"/>
      </w:pPr>
      <w:r w:rsidRPr="00172456">
        <w:t>-</w:t>
      </w:r>
      <w:r w:rsidRPr="00172456">
        <w:rPr>
          <w:i/>
        </w:rPr>
        <w:t>Vnímání chemie a chemického průmyslu veřejností z pohledu malých a středních podniků.</w:t>
      </w:r>
      <w:r w:rsidRPr="00172456">
        <w:t xml:space="preserve"> </w:t>
      </w:r>
      <w:r w:rsidR="00DB7E1B" w:rsidRPr="00172456">
        <w:t>Ing.</w:t>
      </w:r>
      <w:r w:rsidR="008E4698" w:rsidRPr="00172456">
        <w:t xml:space="preserve"> </w:t>
      </w:r>
      <w:r w:rsidR="00DB7E1B" w:rsidRPr="00172456">
        <w:t>Krump (Vodní sklo,</w:t>
      </w:r>
      <w:r w:rsidR="008E4698" w:rsidRPr="00172456">
        <w:t xml:space="preserve"> </w:t>
      </w:r>
      <w:r w:rsidR="00DB7E1B" w:rsidRPr="00172456">
        <w:t xml:space="preserve">s.r.o.) se musel z jednání omluvit, poslal ale několik bodů ze svého plánovaného příspěvku.  Tyto body byly přečteny. Týkaly se </w:t>
      </w:r>
      <w:r w:rsidR="00DB7E1B" w:rsidRPr="00172456">
        <w:rPr>
          <w:bCs/>
        </w:rPr>
        <w:t xml:space="preserve">zásadních faktorů, ovlivňujících konkurenceschopnost MSP v chemickém průmyslu, běžných problémů/limitů chemického průmyslu, toho, jak je vnímán chemický průmysl v Ústí nad Labem a v čem je možné, aby firmy spolupracovaly již dnes, resp. co by mohlo být náplní práce “sdružení“. Spolupráce by se měla především odvíjet od popularizace průmyslu v regionu, zejména se zaměřením na ZŠ a SŠ. Dále by měl být ustanoven koordinátor pro výzkumné projekty.   </w:t>
      </w:r>
      <w:r w:rsidR="00DB7E1B" w:rsidRPr="00172456">
        <w:t xml:space="preserve">Jednotlivé podniky by se měly na chodu takové entity částečně finančně podílet. </w:t>
      </w:r>
      <w:r w:rsidR="00002980" w:rsidRPr="00172456">
        <w:t xml:space="preserve"> </w:t>
      </w:r>
      <w:r w:rsidR="00DB7E1B" w:rsidRPr="00172456">
        <w:t>Zásadní je definovat cíle a určit jejich priority, stanovit harmonogram a odpovědné osoby</w:t>
      </w:r>
      <w:r w:rsidR="00002980" w:rsidRPr="00172456">
        <w:t>.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72359D" w:rsidRDefault="00002980" w:rsidP="006C090B">
      <w:pPr>
        <w:tabs>
          <w:tab w:val="left" w:pos="142"/>
        </w:tabs>
        <w:spacing w:after="0" w:line="240" w:lineRule="auto"/>
        <w:jc w:val="both"/>
        <w:rPr>
          <w:i/>
        </w:rPr>
      </w:pPr>
      <w:r w:rsidRPr="00172456">
        <w:t>-</w:t>
      </w:r>
      <w:r w:rsidRPr="00172456">
        <w:rPr>
          <w:i/>
        </w:rPr>
        <w:t xml:space="preserve"> Vnímání chemie a chemického průmyslu veřejností z pohledu velkého chemického  výrobce</w:t>
      </w:r>
      <w:r w:rsidR="00C92647">
        <w:rPr>
          <w:i/>
        </w:rPr>
        <w:t>.</w:t>
      </w:r>
      <w:r w:rsidRPr="00172456">
        <w:rPr>
          <w:i/>
        </w:rPr>
        <w:t xml:space="preserve"> </w:t>
      </w:r>
    </w:p>
    <w:p w:rsidR="002C59A1" w:rsidRDefault="00002980" w:rsidP="006C090B">
      <w:pPr>
        <w:tabs>
          <w:tab w:val="left" w:pos="142"/>
        </w:tabs>
        <w:spacing w:after="0" w:line="240" w:lineRule="auto"/>
        <w:jc w:val="both"/>
      </w:pPr>
      <w:r w:rsidRPr="00172456">
        <w:t>Ing. Knechtl (Spolchemie, a.s.) nastínil důvody, proč je chemie negativně vnímána a uvedl řadu příkladů z praxe této společnosti, které mají za cíl popularizovat chemické odvětví</w:t>
      </w:r>
      <w:r w:rsidR="00ED16F0" w:rsidRPr="00172456">
        <w:t xml:space="preserve"> (Dny otevřených dveří, chemický jarmark, </w:t>
      </w:r>
      <w:proofErr w:type="spellStart"/>
      <w:r w:rsidR="00ED16F0" w:rsidRPr="00172456">
        <w:t>půlmaraton</w:t>
      </w:r>
      <w:proofErr w:type="spellEnd"/>
      <w:r w:rsidR="00ED16F0" w:rsidRPr="00172456">
        <w:t xml:space="preserve">, spolupráce s VŠ, AV ČR, výzkumnými institucemi UK, exkurze škol s prezentací VŠ, SŠ, ZŠ, propagace produktů a technologií atd.).  Negativně je podnikem vnímána oblast výchovy odborníků (zrušení chemické průmyslovky, učiliště – chemik, laborant, </w:t>
      </w:r>
      <w:r w:rsidR="00AC7291" w:rsidRPr="00172456">
        <w:t>měření a regulace)</w:t>
      </w:r>
      <w:r w:rsidR="00ED16F0" w:rsidRPr="00172456">
        <w:t xml:space="preserve">, horší přístup k dotacím </w:t>
      </w:r>
      <w:proofErr w:type="spellStart"/>
      <w:r w:rsidR="00ED16F0" w:rsidRPr="00172456">
        <w:t>VaV</w:t>
      </w:r>
      <w:proofErr w:type="spellEnd"/>
      <w:r w:rsidR="00ED16F0" w:rsidRPr="00172456">
        <w:t xml:space="preserve">, podpora investičních akcí (v porovnání přístupu ke zdrojům např. v Německu a ČR: malý/střední/velký podnik), podpora konkurenceschopnosti. </w:t>
      </w:r>
      <w:r w:rsidR="002C59A1" w:rsidRPr="00172456">
        <w:t xml:space="preserve"> Chybí informační centra – jedná se o řízený způsob, jak dostat informace mezi veřejnost. </w:t>
      </w:r>
    </w:p>
    <w:p w:rsidR="00A64C25" w:rsidRPr="00172456" w:rsidRDefault="00A64C25" w:rsidP="006C090B">
      <w:pPr>
        <w:tabs>
          <w:tab w:val="left" w:pos="142"/>
        </w:tabs>
        <w:spacing w:after="0" w:line="240" w:lineRule="auto"/>
        <w:jc w:val="both"/>
      </w:pPr>
    </w:p>
    <w:p w:rsidR="002C59A1" w:rsidRPr="00172456" w:rsidRDefault="002C59A1" w:rsidP="006C090B">
      <w:pPr>
        <w:tabs>
          <w:tab w:val="left" w:pos="142"/>
        </w:tabs>
        <w:spacing w:after="0" w:line="240" w:lineRule="auto"/>
        <w:jc w:val="both"/>
        <w:rPr>
          <w:b/>
        </w:rPr>
      </w:pPr>
      <w:r w:rsidRPr="00172456">
        <w:rPr>
          <w:b/>
        </w:rPr>
        <w:t>Diskuze:</w:t>
      </w:r>
    </w:p>
    <w:p w:rsidR="00E23406" w:rsidRPr="00172456" w:rsidRDefault="00E23406" w:rsidP="006C090B">
      <w:pPr>
        <w:tabs>
          <w:tab w:val="left" w:pos="142"/>
        </w:tabs>
        <w:spacing w:after="0" w:line="240" w:lineRule="auto"/>
        <w:jc w:val="both"/>
      </w:pPr>
      <w:r w:rsidRPr="00172456">
        <w:t>V následné diskuzi byla vyjádřena řada myšlenek, připomínek a podnětů, které lze shrnout do následujících bodů:</w:t>
      </w:r>
    </w:p>
    <w:p w:rsidR="00E23406" w:rsidRPr="00172456" w:rsidRDefault="00E23406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>řada podniků a institucí realizuje aktivity pro zlepšení vnímání chemie v</w:t>
      </w:r>
      <w:r w:rsidR="00A00CCA" w:rsidRPr="00172456">
        <w:rPr>
          <w:rFonts w:asciiTheme="minorHAnsi" w:hAnsiTheme="minorHAnsi"/>
          <w:sz w:val="22"/>
          <w:szCs w:val="22"/>
        </w:rPr>
        <w:t> </w:t>
      </w:r>
      <w:r w:rsidRPr="00172456">
        <w:rPr>
          <w:rFonts w:asciiTheme="minorHAnsi" w:hAnsiTheme="minorHAnsi"/>
          <w:sz w:val="22"/>
          <w:szCs w:val="22"/>
        </w:rPr>
        <w:t>regionu</w:t>
      </w:r>
      <w:r w:rsidR="00A00CCA" w:rsidRPr="00172456">
        <w:rPr>
          <w:rFonts w:asciiTheme="minorHAnsi" w:hAnsiTheme="minorHAnsi"/>
          <w:sz w:val="22"/>
          <w:szCs w:val="22"/>
        </w:rPr>
        <w:t>,</w:t>
      </w:r>
      <w:r w:rsidRPr="00172456">
        <w:rPr>
          <w:rFonts w:asciiTheme="minorHAnsi" w:hAnsiTheme="minorHAnsi"/>
          <w:sz w:val="22"/>
          <w:szCs w:val="22"/>
        </w:rPr>
        <w:t xml:space="preserve"> ale stále chybí větší politická i finanční podpora státní správy. </w:t>
      </w:r>
    </w:p>
    <w:p w:rsidR="00672907" w:rsidRPr="00172456" w:rsidRDefault="00E23406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lastRenderedPageBreak/>
        <w:t>-</w:t>
      </w:r>
      <w:r w:rsidR="00672907" w:rsidRPr="00172456">
        <w:rPr>
          <w:rFonts w:asciiTheme="minorHAnsi" w:hAnsiTheme="minorHAnsi"/>
          <w:sz w:val="22"/>
          <w:szCs w:val="22"/>
        </w:rPr>
        <w:t>chybí osoba (koordinátor/moderátor/</w:t>
      </w:r>
      <w:proofErr w:type="spellStart"/>
      <w:r w:rsidR="00672907" w:rsidRPr="00172456">
        <w:rPr>
          <w:rFonts w:asciiTheme="minorHAnsi" w:hAnsiTheme="minorHAnsi"/>
          <w:sz w:val="22"/>
          <w:szCs w:val="22"/>
        </w:rPr>
        <w:t>facilitátor</w:t>
      </w:r>
      <w:proofErr w:type="spellEnd"/>
      <w:r w:rsidR="00672907" w:rsidRPr="00172456">
        <w:rPr>
          <w:rFonts w:asciiTheme="minorHAnsi" w:hAnsiTheme="minorHAnsi"/>
          <w:sz w:val="22"/>
          <w:szCs w:val="22"/>
        </w:rPr>
        <w:t>), která by byla v neustálém kontaktu se všemi složkami a koordinovala nejen aktivity k popularizaci chemie</w:t>
      </w:r>
      <w:r w:rsidR="00A00CCA" w:rsidRPr="00172456">
        <w:rPr>
          <w:rFonts w:asciiTheme="minorHAnsi" w:hAnsiTheme="minorHAnsi"/>
          <w:sz w:val="22"/>
          <w:szCs w:val="22"/>
        </w:rPr>
        <w:t>,</w:t>
      </w:r>
      <w:r w:rsidR="00672907" w:rsidRPr="00172456">
        <w:rPr>
          <w:rFonts w:asciiTheme="minorHAnsi" w:hAnsiTheme="minorHAnsi"/>
          <w:sz w:val="22"/>
          <w:szCs w:val="22"/>
        </w:rPr>
        <w:t xml:space="preserve"> ale byla i moderátorem pro výzkumné a inovační projekty.</w:t>
      </w:r>
      <w:r w:rsidR="00F32E31" w:rsidRPr="00172456">
        <w:rPr>
          <w:rFonts w:asciiTheme="minorHAnsi" w:hAnsiTheme="minorHAnsi"/>
          <w:sz w:val="22"/>
          <w:szCs w:val="22"/>
        </w:rPr>
        <w:t xml:space="preserve"> Kdo by ji mohl nabídnout, kdo by ji mohl platit?</w:t>
      </w:r>
    </w:p>
    <w:p w:rsidR="00672907" w:rsidRPr="00172456" w:rsidRDefault="00672907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>s popularizací chemie a obecně technickými obory je nutno začít u dětí předškolního věku, pokračovat přes rodiče až po politické představitele kraje – ale nejen kraje.</w:t>
      </w:r>
    </w:p>
    <w:p w:rsidR="00F473D9" w:rsidRPr="00172456" w:rsidRDefault="00F473D9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>vztah dětí k oboru se formuje na ZŠ – v jiných oborech se daří, v chemii dosud ne. Rozdíly jsou i v jednotlivých krajích (Liberec, Ostrava)</w:t>
      </w:r>
      <w:r w:rsidR="00A00CCA" w:rsidRPr="00172456">
        <w:rPr>
          <w:rFonts w:asciiTheme="minorHAnsi" w:hAnsiTheme="minorHAnsi"/>
          <w:sz w:val="22"/>
          <w:szCs w:val="22"/>
        </w:rPr>
        <w:t>,</w:t>
      </w:r>
      <w:r w:rsidRPr="00172456">
        <w:rPr>
          <w:rFonts w:asciiTheme="minorHAnsi" w:hAnsiTheme="minorHAnsi"/>
          <w:sz w:val="22"/>
          <w:szCs w:val="22"/>
        </w:rPr>
        <w:t xml:space="preserve"> kde jsou daleko více podporovány různé veřejné soutěže</w:t>
      </w:r>
      <w:r w:rsidR="00A00CCA" w:rsidRPr="00172456">
        <w:rPr>
          <w:rFonts w:asciiTheme="minorHAnsi" w:hAnsiTheme="minorHAnsi"/>
          <w:sz w:val="22"/>
          <w:szCs w:val="22"/>
        </w:rPr>
        <w:t>,</w:t>
      </w:r>
      <w:r w:rsidRPr="00172456">
        <w:rPr>
          <w:rFonts w:asciiTheme="minorHAnsi" w:hAnsiTheme="minorHAnsi"/>
          <w:sz w:val="22"/>
          <w:szCs w:val="22"/>
        </w:rPr>
        <w:t xml:space="preserve"> atd. </w:t>
      </w:r>
    </w:p>
    <w:p w:rsidR="00EB50E0" w:rsidRPr="00172456" w:rsidRDefault="00672907" w:rsidP="006C090B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 xml:space="preserve">finanční </w:t>
      </w:r>
      <w:r w:rsidR="00EB50E0" w:rsidRPr="00172456">
        <w:rPr>
          <w:rFonts w:asciiTheme="minorHAnsi" w:hAnsiTheme="minorHAnsi"/>
          <w:sz w:val="22"/>
          <w:szCs w:val="22"/>
        </w:rPr>
        <w:t>prostředky</w:t>
      </w:r>
      <w:r w:rsidRPr="00172456">
        <w:rPr>
          <w:rFonts w:asciiTheme="minorHAnsi" w:hAnsiTheme="minorHAnsi"/>
          <w:sz w:val="22"/>
          <w:szCs w:val="22"/>
        </w:rPr>
        <w:t xml:space="preserve"> by se měly rozdělovat účelněji, např. na podporu kvalitních učitelů technických oborů (mzdy)</w:t>
      </w:r>
      <w:r w:rsidR="00EB50E0" w:rsidRPr="00172456">
        <w:rPr>
          <w:rFonts w:asciiTheme="minorHAnsi" w:hAnsiTheme="minorHAnsi"/>
          <w:sz w:val="22"/>
          <w:szCs w:val="22"/>
        </w:rPr>
        <w:t>, kterých je zoufalý nedostatek</w:t>
      </w:r>
      <w:r w:rsidRPr="00172456">
        <w:rPr>
          <w:rFonts w:asciiTheme="minorHAnsi" w:hAnsiTheme="minorHAnsi"/>
          <w:sz w:val="22"/>
          <w:szCs w:val="22"/>
        </w:rPr>
        <w:t>, podporu aktivit na popularizaci těchto oborů</w:t>
      </w:r>
      <w:r w:rsidR="005D1CAF" w:rsidRPr="00172456">
        <w:rPr>
          <w:rFonts w:asciiTheme="minorHAnsi" w:hAnsiTheme="minorHAnsi"/>
          <w:sz w:val="22"/>
          <w:szCs w:val="22"/>
        </w:rPr>
        <w:t>, především chemie</w:t>
      </w:r>
      <w:r w:rsidR="00EB50E0" w:rsidRPr="00172456">
        <w:rPr>
          <w:rFonts w:asciiTheme="minorHAnsi" w:hAnsiTheme="minorHAnsi"/>
          <w:sz w:val="22"/>
          <w:szCs w:val="22"/>
        </w:rPr>
        <w:t xml:space="preserve"> apod.</w:t>
      </w:r>
    </w:p>
    <w:p w:rsidR="006F697D" w:rsidRPr="00172456" w:rsidRDefault="006F697D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>Řada firem bere na praxi studenty do nejrůznějších pozic. Pro tuto činnost by měla být větší podpora kraje.</w:t>
      </w:r>
    </w:p>
    <w:p w:rsidR="006F697D" w:rsidRPr="00172456" w:rsidRDefault="005D1CAF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 xml:space="preserve">Jednotlivé podniky se musí na všech těchto aktivitách částečně </w:t>
      </w:r>
      <w:r w:rsidR="00EB50E0" w:rsidRPr="00172456">
        <w:rPr>
          <w:rFonts w:asciiTheme="minorHAnsi" w:hAnsiTheme="minorHAnsi"/>
          <w:sz w:val="22"/>
          <w:szCs w:val="22"/>
        </w:rPr>
        <w:t xml:space="preserve">prakticky i </w:t>
      </w:r>
      <w:r w:rsidRPr="00172456">
        <w:rPr>
          <w:rFonts w:asciiTheme="minorHAnsi" w:hAnsiTheme="minorHAnsi"/>
          <w:sz w:val="22"/>
          <w:szCs w:val="22"/>
        </w:rPr>
        <w:t>finančně podílet.</w:t>
      </w:r>
      <w:r w:rsidR="00672907" w:rsidRPr="00172456">
        <w:rPr>
          <w:rFonts w:asciiTheme="minorHAnsi" w:hAnsiTheme="minorHAnsi"/>
          <w:sz w:val="22"/>
          <w:szCs w:val="22"/>
        </w:rPr>
        <w:t xml:space="preserve">  </w:t>
      </w:r>
    </w:p>
    <w:p w:rsidR="00E23406" w:rsidRPr="00172456" w:rsidRDefault="006F697D" w:rsidP="00172456">
      <w:pPr>
        <w:pStyle w:val="Odstavecseseznamem"/>
        <w:numPr>
          <w:ilvl w:val="0"/>
          <w:numId w:val="12"/>
        </w:num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 xml:space="preserve">Ústecký kraj </w:t>
      </w:r>
      <w:r w:rsidR="00E72E48" w:rsidRPr="00172456">
        <w:rPr>
          <w:rFonts w:asciiTheme="minorHAnsi" w:hAnsiTheme="minorHAnsi"/>
          <w:sz w:val="22"/>
          <w:szCs w:val="22"/>
        </w:rPr>
        <w:t xml:space="preserve">přijal dokument </w:t>
      </w:r>
      <w:r w:rsidR="00C666BD" w:rsidRPr="00172456">
        <w:rPr>
          <w:rFonts w:asciiTheme="minorHAnsi" w:hAnsiTheme="minorHAnsi"/>
          <w:sz w:val="22"/>
          <w:szCs w:val="22"/>
        </w:rPr>
        <w:t>Akční plán Strategie rozvoje vědy, výzkumu a inovací Ústeckého kraje 2010-2012</w:t>
      </w:r>
      <w:r w:rsidR="00E72E48" w:rsidRPr="00172456">
        <w:rPr>
          <w:rFonts w:asciiTheme="minorHAnsi" w:hAnsiTheme="minorHAnsi"/>
          <w:sz w:val="22"/>
          <w:szCs w:val="22"/>
        </w:rPr>
        <w:t>. Většina úkolů nebyla splněna, byly realizovány pouze některé menší akce. Chybí politická podpora.</w:t>
      </w:r>
    </w:p>
    <w:p w:rsidR="00EB50E0" w:rsidRPr="00172456" w:rsidRDefault="00EB50E0" w:rsidP="00172456">
      <w:pPr>
        <w:pStyle w:val="Default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>Výstupy z projektů by měly být ventilovány nejen na úrovni kraje</w:t>
      </w:r>
      <w:r w:rsidR="00A00CCA" w:rsidRPr="00172456">
        <w:rPr>
          <w:rFonts w:asciiTheme="minorHAnsi" w:hAnsiTheme="minorHAnsi"/>
          <w:sz w:val="22"/>
          <w:szCs w:val="22"/>
        </w:rPr>
        <w:t>,</w:t>
      </w:r>
      <w:r w:rsidRPr="00172456">
        <w:rPr>
          <w:rFonts w:asciiTheme="minorHAnsi" w:hAnsiTheme="minorHAnsi"/>
          <w:sz w:val="22"/>
          <w:szCs w:val="22"/>
        </w:rPr>
        <w:t xml:space="preserve"> ale i na úrovni státu </w:t>
      </w:r>
      <w:r w:rsidRPr="00172456">
        <w:rPr>
          <w:rFonts w:asciiTheme="minorHAnsi" w:hAnsiTheme="minorHAnsi"/>
          <w:sz w:val="22"/>
          <w:szCs w:val="22"/>
        </w:rPr>
        <w:br/>
        <w:t>(ministerstva – např. ve financování školství není podpora jednotlivých oborů stejná).</w:t>
      </w:r>
    </w:p>
    <w:p w:rsidR="005D1CAF" w:rsidRPr="00172456" w:rsidRDefault="005D1CAF" w:rsidP="006C090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72E48" w:rsidRPr="00172456" w:rsidRDefault="00E72E48" w:rsidP="006C090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72E48" w:rsidRPr="00172456" w:rsidRDefault="00E72E48" w:rsidP="006C090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72E48" w:rsidRPr="00172456" w:rsidRDefault="00E72E48" w:rsidP="006C090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72E48" w:rsidRPr="00172456" w:rsidRDefault="00E72E48" w:rsidP="006C090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172456">
        <w:rPr>
          <w:rFonts w:asciiTheme="minorHAnsi" w:hAnsiTheme="minorHAnsi"/>
          <w:sz w:val="22"/>
          <w:szCs w:val="22"/>
        </w:rPr>
        <w:t>Zapsal:  Ing. Jan</w:t>
      </w:r>
      <w:r w:rsidR="00A00CCA" w:rsidRPr="00172456">
        <w:rPr>
          <w:rFonts w:asciiTheme="minorHAnsi" w:hAnsiTheme="minorHAnsi"/>
          <w:sz w:val="22"/>
          <w:szCs w:val="22"/>
        </w:rPr>
        <w:t xml:space="preserve"> </w:t>
      </w:r>
      <w:r w:rsidRPr="00172456">
        <w:rPr>
          <w:rFonts w:asciiTheme="minorHAnsi" w:hAnsiTheme="minorHAnsi"/>
          <w:sz w:val="22"/>
          <w:szCs w:val="22"/>
        </w:rPr>
        <w:t>Plesar</w:t>
      </w:r>
    </w:p>
    <w:p w:rsidR="00855E8D" w:rsidRPr="00172456" w:rsidRDefault="00855E8D" w:rsidP="006C090B">
      <w:pPr>
        <w:tabs>
          <w:tab w:val="left" w:pos="142"/>
        </w:tabs>
        <w:spacing w:after="0" w:line="240" w:lineRule="auto"/>
        <w:jc w:val="both"/>
        <w:rPr>
          <w:b/>
        </w:rPr>
      </w:pPr>
    </w:p>
    <w:p w:rsidR="00ED16F0" w:rsidRPr="00172456" w:rsidRDefault="00ED16F0" w:rsidP="006C090B">
      <w:pPr>
        <w:tabs>
          <w:tab w:val="left" w:pos="142"/>
        </w:tabs>
        <w:spacing w:after="0" w:line="240" w:lineRule="auto"/>
        <w:jc w:val="both"/>
      </w:pPr>
      <w:r w:rsidRPr="00172456">
        <w:t xml:space="preserve">  </w:t>
      </w:r>
    </w:p>
    <w:p w:rsidR="00EB7EA4" w:rsidRPr="00172456" w:rsidRDefault="00EB7EA4" w:rsidP="004732B1">
      <w:pPr>
        <w:jc w:val="center"/>
      </w:pPr>
    </w:p>
    <w:sectPr w:rsidR="00EB7EA4" w:rsidRPr="00172456" w:rsidSect="00EB39E8">
      <w:footerReference w:type="default" r:id="rId20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BEC" w:rsidRDefault="00353BEC" w:rsidP="004732B1">
      <w:pPr>
        <w:spacing w:after="0" w:line="240" w:lineRule="auto"/>
      </w:pPr>
      <w:r>
        <w:separator/>
      </w:r>
    </w:p>
  </w:endnote>
  <w:endnote w:type="continuationSeparator" w:id="0">
    <w:p w:rsidR="00353BEC" w:rsidRDefault="00353BEC" w:rsidP="0047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7D" w:rsidRDefault="006F697D" w:rsidP="004732B1">
    <w:pPr>
      <w:pStyle w:val="Zpat"/>
      <w:jc w:val="center"/>
    </w:pPr>
    <w:r w:rsidRPr="004732B1">
      <w:rPr>
        <w:noProof/>
        <w:lang w:eastAsia="cs-CZ"/>
      </w:rPr>
      <w:drawing>
        <wp:inline distT="0" distB="0" distL="0" distR="0">
          <wp:extent cx="4371975" cy="942657"/>
          <wp:effectExtent l="19050" t="0" r="0" b="0"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9940" cy="948687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BEC" w:rsidRDefault="00353BEC" w:rsidP="004732B1">
      <w:pPr>
        <w:spacing w:after="0" w:line="240" w:lineRule="auto"/>
      </w:pPr>
      <w:r>
        <w:separator/>
      </w:r>
    </w:p>
  </w:footnote>
  <w:footnote w:type="continuationSeparator" w:id="0">
    <w:p w:rsidR="00353BEC" w:rsidRDefault="00353BEC" w:rsidP="0047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1813"/>
    <w:multiLevelType w:val="hybridMultilevel"/>
    <w:tmpl w:val="9DCAEB68"/>
    <w:lvl w:ilvl="0" w:tplc="95DA5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B4B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6B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05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08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6E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68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6D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DC1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9B01EA"/>
    <w:multiLevelType w:val="hybridMultilevel"/>
    <w:tmpl w:val="5F188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26CDC"/>
    <w:multiLevelType w:val="hybridMultilevel"/>
    <w:tmpl w:val="DF8230A2"/>
    <w:lvl w:ilvl="0" w:tplc="31304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D6F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2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83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CC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E9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6B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06F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A8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3435F6A"/>
    <w:multiLevelType w:val="hybridMultilevel"/>
    <w:tmpl w:val="59B4B7D4"/>
    <w:lvl w:ilvl="0" w:tplc="C486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F8CC">
      <w:start w:val="34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6B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6D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6C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41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E04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2F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5B64C96"/>
    <w:multiLevelType w:val="hybridMultilevel"/>
    <w:tmpl w:val="CC6E4D66"/>
    <w:lvl w:ilvl="0" w:tplc="C8E47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04B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22C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48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AD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660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E0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980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826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A1C0355"/>
    <w:multiLevelType w:val="hybridMultilevel"/>
    <w:tmpl w:val="E92AB6CA"/>
    <w:lvl w:ilvl="0" w:tplc="141E39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484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C80F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84F7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AFA0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283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813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72DC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760D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831667"/>
    <w:multiLevelType w:val="hybridMultilevel"/>
    <w:tmpl w:val="3D02E1B8"/>
    <w:lvl w:ilvl="0" w:tplc="D7545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26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FA2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4A9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322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0C3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3C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8A3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1CF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DA91A65"/>
    <w:multiLevelType w:val="hybridMultilevel"/>
    <w:tmpl w:val="703290C2"/>
    <w:lvl w:ilvl="0" w:tplc="70D05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D1B5A"/>
    <w:multiLevelType w:val="hybridMultilevel"/>
    <w:tmpl w:val="08C613FC"/>
    <w:lvl w:ilvl="0" w:tplc="FB3E2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FC4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187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AB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040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60E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000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DA6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C1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4D94FA7"/>
    <w:multiLevelType w:val="hybridMultilevel"/>
    <w:tmpl w:val="18AE2E06"/>
    <w:lvl w:ilvl="0" w:tplc="21A8A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E67D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60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0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25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7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A4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68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C1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F771C70"/>
    <w:multiLevelType w:val="hybridMultilevel"/>
    <w:tmpl w:val="7360C0EC"/>
    <w:lvl w:ilvl="0" w:tplc="D7A68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80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A88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2E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50E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43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EE5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DC5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C1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C3D1D0B"/>
    <w:multiLevelType w:val="hybridMultilevel"/>
    <w:tmpl w:val="89B088A4"/>
    <w:lvl w:ilvl="0" w:tplc="43C2C5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26200"/>
    <w:multiLevelType w:val="hybridMultilevel"/>
    <w:tmpl w:val="E68884D4"/>
    <w:lvl w:ilvl="0" w:tplc="3EFCD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A4A2C4">
      <w:start w:val="10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702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E8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46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A5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EA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AB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7F100B"/>
    <w:rsid w:val="00002980"/>
    <w:rsid w:val="00072788"/>
    <w:rsid w:val="00100AA8"/>
    <w:rsid w:val="00120376"/>
    <w:rsid w:val="00172456"/>
    <w:rsid w:val="0028372A"/>
    <w:rsid w:val="002B16E0"/>
    <w:rsid w:val="002B5D62"/>
    <w:rsid w:val="002B7FA5"/>
    <w:rsid w:val="002C3FDF"/>
    <w:rsid w:val="002C59A1"/>
    <w:rsid w:val="002E36B8"/>
    <w:rsid w:val="00312827"/>
    <w:rsid w:val="00330A2B"/>
    <w:rsid w:val="00353BEC"/>
    <w:rsid w:val="003767AB"/>
    <w:rsid w:val="003F55D6"/>
    <w:rsid w:val="004732B1"/>
    <w:rsid w:val="004B6981"/>
    <w:rsid w:val="005D1CAF"/>
    <w:rsid w:val="005E1CE9"/>
    <w:rsid w:val="00672907"/>
    <w:rsid w:val="006814AC"/>
    <w:rsid w:val="00693E5A"/>
    <w:rsid w:val="006C090B"/>
    <w:rsid w:val="006C5675"/>
    <w:rsid w:val="006F697D"/>
    <w:rsid w:val="0072359D"/>
    <w:rsid w:val="0074299B"/>
    <w:rsid w:val="007E649C"/>
    <w:rsid w:val="007F100B"/>
    <w:rsid w:val="00800012"/>
    <w:rsid w:val="00855E8D"/>
    <w:rsid w:val="008E4698"/>
    <w:rsid w:val="00981180"/>
    <w:rsid w:val="009832A6"/>
    <w:rsid w:val="00A00CCA"/>
    <w:rsid w:val="00A05D9E"/>
    <w:rsid w:val="00A64724"/>
    <w:rsid w:val="00A64C25"/>
    <w:rsid w:val="00AC6308"/>
    <w:rsid w:val="00AC7291"/>
    <w:rsid w:val="00C242F5"/>
    <w:rsid w:val="00C450B4"/>
    <w:rsid w:val="00C666BD"/>
    <w:rsid w:val="00C92647"/>
    <w:rsid w:val="00CA19F7"/>
    <w:rsid w:val="00D308AB"/>
    <w:rsid w:val="00D449CB"/>
    <w:rsid w:val="00DB10AC"/>
    <w:rsid w:val="00DB7E1B"/>
    <w:rsid w:val="00DD6714"/>
    <w:rsid w:val="00E21878"/>
    <w:rsid w:val="00E23406"/>
    <w:rsid w:val="00E72E48"/>
    <w:rsid w:val="00E77DFC"/>
    <w:rsid w:val="00EB39E8"/>
    <w:rsid w:val="00EB50E0"/>
    <w:rsid w:val="00EB7EA4"/>
    <w:rsid w:val="00ED16F0"/>
    <w:rsid w:val="00F32E31"/>
    <w:rsid w:val="00F36349"/>
    <w:rsid w:val="00F473D9"/>
    <w:rsid w:val="00FD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0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32B1"/>
  </w:style>
  <w:style w:type="paragraph" w:styleId="Zpat">
    <w:name w:val="footer"/>
    <w:basedOn w:val="Normln"/>
    <w:link w:val="ZpatChar"/>
    <w:uiPriority w:val="99"/>
    <w:semiHidden/>
    <w:unhideWhenUsed/>
    <w:rsid w:val="004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32B1"/>
  </w:style>
  <w:style w:type="paragraph" w:styleId="Textbubliny">
    <w:name w:val="Balloon Text"/>
    <w:basedOn w:val="Normln"/>
    <w:link w:val="TextbublinyChar"/>
    <w:uiPriority w:val="99"/>
    <w:semiHidden/>
    <w:unhideWhenUsed/>
    <w:rsid w:val="00473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2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5D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472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8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B7E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9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4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7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8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0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7228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6316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143">
          <w:marLeft w:val="547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1614">
          <w:marLeft w:val="2261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62">
          <w:marLeft w:val="2261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476">
          <w:marLeft w:val="2261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513">
          <w:marLeft w:val="2261"/>
          <w:marRight w:val="0"/>
          <w:marTop w:val="4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6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2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4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7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chp-konkurenceschopnost.cz/" TargetMode="External"/><Relationship Id="rId18" Type="http://schemas.openxmlformats.org/officeDocument/2006/relationships/hyperlink" Target="http://umc.ujep.cz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schp-konkurenceschopnost.cz/" TargetMode="External"/><Relationship Id="rId17" Type="http://schemas.openxmlformats.org/officeDocument/2006/relationships/hyperlink" Target="http://open.ujep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ejchemik.cz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nejchemik.cz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unipetrol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schp-konkurenceschopnost.cz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1208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plesar.j</dc:creator>
  <cp:lastModifiedBy>plesar.j</cp:lastModifiedBy>
  <cp:revision>4</cp:revision>
  <cp:lastPrinted>2012-11-26T13:23:00Z</cp:lastPrinted>
  <dcterms:created xsi:type="dcterms:W3CDTF">2012-11-26T13:22:00Z</dcterms:created>
  <dcterms:modified xsi:type="dcterms:W3CDTF">2012-11-27T07:20:00Z</dcterms:modified>
</cp:coreProperties>
</file>