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77" w:rsidRDefault="00C47A77" w:rsidP="00C47A77">
      <w:pPr>
        <w:pStyle w:val="Default"/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Pr="00C47A77" w:rsidRDefault="00C47A77" w:rsidP="00C47A77">
      <w:pPr>
        <w:pStyle w:val="1Nadpis"/>
        <w:jc w:val="center"/>
        <w:rPr>
          <w:b w:val="0"/>
          <w:bCs/>
          <w:sz w:val="52"/>
          <w:szCs w:val="52"/>
        </w:rPr>
      </w:pPr>
      <w:r w:rsidRPr="00C47A77">
        <w:rPr>
          <w:b w:val="0"/>
          <w:bCs/>
          <w:sz w:val="52"/>
          <w:szCs w:val="52"/>
        </w:rPr>
        <w:t>STRATEGIE UDRŽITELNÉHO ROZVOJE ÚSTECKÉHO KRAJE</w:t>
      </w:r>
    </w:p>
    <w:p w:rsidR="00C47A77" w:rsidRDefault="00C47A77" w:rsidP="00C47A77">
      <w:pPr>
        <w:pStyle w:val="1Nadpis"/>
        <w:jc w:val="center"/>
        <w:rPr>
          <w:b w:val="0"/>
          <w:bCs/>
        </w:rPr>
      </w:pPr>
    </w:p>
    <w:p w:rsidR="00C47A77" w:rsidRDefault="00C47A77" w:rsidP="00C47A77">
      <w:pPr>
        <w:pStyle w:val="1Nadpis"/>
        <w:jc w:val="center"/>
        <w:rPr>
          <w:b w:val="0"/>
          <w:bCs/>
        </w:rPr>
      </w:pPr>
      <w:r>
        <w:rPr>
          <w:b w:val="0"/>
          <w:bCs/>
        </w:rPr>
        <w:t>Komentář k indikátorům za rok 2010</w:t>
      </w: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rPr>
          <w:b w:val="0"/>
          <w:bCs/>
        </w:rPr>
      </w:pPr>
    </w:p>
    <w:p w:rsidR="00C47A77" w:rsidRDefault="00C47A77" w:rsidP="00C47A77">
      <w:pPr>
        <w:pStyle w:val="1Nadpis"/>
        <w:jc w:val="right"/>
        <w:rPr>
          <w:b w:val="0"/>
          <w:bCs/>
        </w:rPr>
      </w:pPr>
      <w:r>
        <w:rPr>
          <w:b w:val="0"/>
          <w:bCs/>
        </w:rPr>
        <w:t>4.9.2012</w:t>
      </w:r>
    </w:p>
    <w:p w:rsidR="00DC430A" w:rsidRPr="00360060" w:rsidRDefault="00DC430A" w:rsidP="00C47A77">
      <w:pPr>
        <w:pStyle w:val="1Nadpis"/>
      </w:pPr>
      <w:r w:rsidRPr="00360060">
        <w:lastRenderedPageBreak/>
        <w:t>Prioritní osa I: Efektivní ekonomika a zaměstnanost</w:t>
      </w:r>
    </w:p>
    <w:p w:rsidR="00DC430A" w:rsidRPr="00360060" w:rsidRDefault="00DC430A" w:rsidP="00825272">
      <w:pPr>
        <w:pStyle w:val="2Nadpis"/>
      </w:pPr>
      <w:r w:rsidRPr="00DC430A">
        <w:t>Cíl: Posílení ekonomické základny Ústeckého kraje a rozvoj podnikatelského prostředí</w:t>
      </w:r>
    </w:p>
    <w:p w:rsidR="003C205F" w:rsidRPr="0051169C" w:rsidRDefault="00DC430A" w:rsidP="0051169C">
      <w:pPr>
        <w:overflowPunct/>
        <w:autoSpaceDE/>
        <w:autoSpaceDN/>
        <w:adjustRightInd/>
        <w:spacing w:line="240" w:lineRule="auto"/>
        <w:jc w:val="both"/>
        <w:textAlignment w:val="auto"/>
        <w:rPr>
          <w:rFonts w:ascii="Calibri" w:eastAsia="Times New Roman" w:hAnsi="Calibri" w:cs="Calibri"/>
          <w:bCs/>
          <w:color w:val="000000"/>
          <w:szCs w:val="22"/>
          <w:lang w:val="cs-CZ" w:eastAsia="cs-CZ"/>
        </w:rPr>
      </w:pPr>
      <w:r w:rsidRPr="0051169C">
        <w:rPr>
          <w:rFonts w:ascii="Calibri" w:eastAsia="Times New Roman" w:hAnsi="Calibri" w:cs="Calibri"/>
          <w:bCs/>
          <w:color w:val="000000"/>
          <w:szCs w:val="22"/>
          <w:lang w:val="cs-CZ" w:eastAsia="cs-CZ"/>
        </w:rPr>
        <w:tab/>
      </w:r>
    </w:p>
    <w:p w:rsidR="00C20E05" w:rsidRDefault="003C205F" w:rsidP="00825272">
      <w:pPr>
        <w:pStyle w:val="3text"/>
      </w:pPr>
      <w:r>
        <w:tab/>
      </w:r>
      <w:r w:rsidR="00DC430A" w:rsidRPr="00E31B1C">
        <w:rPr>
          <w:rFonts w:ascii="Calibri" w:hAnsi="Calibri" w:cs="Calibri"/>
        </w:rPr>
        <w:t xml:space="preserve">Hrubý domácí produkt (HDP) </w:t>
      </w:r>
      <w:r w:rsidR="00E31B1C" w:rsidRPr="00E31B1C">
        <w:t>Ústeckého kraje</w:t>
      </w:r>
      <w:r w:rsidR="00F0018B">
        <w:t xml:space="preserve"> (ÚK)</w:t>
      </w:r>
      <w:r w:rsidR="00E31B1C" w:rsidRPr="00E31B1C">
        <w:t xml:space="preserve"> byl v roce </w:t>
      </w:r>
      <w:r w:rsidR="00E31B1C">
        <w:t xml:space="preserve">2010 250267 mil. Kč. To řadí </w:t>
      </w:r>
      <w:r w:rsidR="00F0018B">
        <w:t>ÚK</w:t>
      </w:r>
      <w:r w:rsidR="00E31B1C">
        <w:t xml:space="preserve"> na 5. </w:t>
      </w:r>
      <w:r w:rsidR="00F0018B">
        <w:t>místo</w:t>
      </w:r>
      <w:r w:rsidR="00E31B1C">
        <w:t xml:space="preserve"> mezi kraji</w:t>
      </w:r>
      <w:r w:rsidR="00F0018B">
        <w:t>.</w:t>
      </w:r>
      <w:r w:rsidR="003E3002">
        <w:t xml:space="preserve"> Přestože HDP ÚK bylo nižší než v roce 2009 růst</w:t>
      </w:r>
      <w:r w:rsidR="003E3002" w:rsidRPr="003E3002">
        <w:t xml:space="preserve"> ve stálých cenách předchozího roku (reálný růst)</w:t>
      </w:r>
      <w:r w:rsidR="003E3002">
        <w:t xml:space="preserve"> byl 1,3%</w:t>
      </w:r>
      <w:r w:rsidR="003E3002" w:rsidRPr="003E3002">
        <w:t>.</w:t>
      </w:r>
      <w:r w:rsidR="003E3002">
        <w:t xml:space="preserve"> A to hlavně vlivem posílení koruny vůči Euru.</w:t>
      </w:r>
      <w:r w:rsidR="00F0018B">
        <w:t xml:space="preserve"> Ukazatel HDP </w:t>
      </w:r>
      <w:r w:rsidR="00DC430A" w:rsidRPr="00E31B1C">
        <w:t>na osobu</w:t>
      </w:r>
      <w:r w:rsidR="00F0018B">
        <w:t xml:space="preserve"> je výrazně pod republikovým průměrem (8. místo). </w:t>
      </w:r>
      <w:r w:rsidR="00B94F1D">
        <w:t xml:space="preserve">Republikový průměr je ovlivněn silnou pozicí Prahy, kde jiný kraj již nedosahuje na průměr. </w:t>
      </w:r>
      <w:r w:rsidR="003E3002">
        <w:t>Zajímavé je srovnání HDP na osobu a HDP na 1</w:t>
      </w:r>
      <w:r w:rsidR="00C20E05">
        <w:t xml:space="preserve"> zaměstnaného, kde je ÚK na 2. místě. To zapříčinila především vysoká nezaměstnanost. </w:t>
      </w:r>
    </w:p>
    <w:p w:rsidR="00DC430A" w:rsidRPr="00E31B1C" w:rsidRDefault="00C20E05" w:rsidP="00825272">
      <w:pPr>
        <w:pStyle w:val="3text"/>
      </w:pPr>
      <w:r>
        <w:tab/>
      </w:r>
      <w:r w:rsidRPr="00C20E05">
        <w:t xml:space="preserve">Tvorba hrubého fixního kapitálu </w:t>
      </w:r>
      <w:r>
        <w:t xml:space="preserve">vzrostla za poslední rok o více jak 30%. </w:t>
      </w:r>
      <w:r w:rsidRPr="00C20E05">
        <w:t>Podíl tvorby hrubého fixního kapitálu ku HDP</w:t>
      </w:r>
      <w:r>
        <w:t xml:space="preserve"> je přes 35%.</w:t>
      </w:r>
    </w:p>
    <w:p w:rsidR="00A469CC" w:rsidRDefault="00A469CC" w:rsidP="00825272">
      <w:pPr>
        <w:pStyle w:val="2Nadpis"/>
      </w:pPr>
    </w:p>
    <w:p w:rsidR="003C205F" w:rsidRPr="00360060" w:rsidRDefault="00C20E05" w:rsidP="00825272">
      <w:pPr>
        <w:pStyle w:val="2Nadpis"/>
      </w:pPr>
      <w:r w:rsidRPr="00360060">
        <w:t>Cíl: Rozvoj inovačního prostředí a modernizace, snižování materiálové a energetické náročnosti ekonomiky Ústeckého kraje a zlepšení nakládání s</w:t>
      </w:r>
      <w:r w:rsidR="003C205F" w:rsidRPr="00360060">
        <w:t> </w:t>
      </w:r>
      <w:r w:rsidRPr="00360060">
        <w:t>odpady</w:t>
      </w:r>
    </w:p>
    <w:p w:rsidR="003C205F" w:rsidRPr="003C205F" w:rsidRDefault="003C205F" w:rsidP="00C20E05">
      <w:pPr>
        <w:overflowPunct/>
        <w:autoSpaceDE/>
        <w:autoSpaceDN/>
        <w:adjustRightInd/>
        <w:spacing w:line="240" w:lineRule="auto"/>
        <w:jc w:val="both"/>
        <w:textAlignment w:val="auto"/>
        <w:rPr>
          <w:rFonts w:ascii="Calibri" w:eastAsia="Times New Roman" w:hAnsi="Calibri" w:cs="Calibri"/>
          <w:bCs/>
          <w:color w:val="000000"/>
          <w:szCs w:val="22"/>
          <w:lang w:val="cs-CZ" w:eastAsia="cs-CZ"/>
        </w:rPr>
      </w:pPr>
    </w:p>
    <w:p w:rsidR="00C20E05" w:rsidRDefault="00CC6532" w:rsidP="00CC6532">
      <w:pPr>
        <w:pStyle w:val="3text"/>
      </w:pPr>
      <w:r>
        <w:tab/>
      </w:r>
      <w:r w:rsidR="003C205F" w:rsidRPr="003C205F">
        <w:t>Výdaje na výzkum a vývoj</w:t>
      </w:r>
      <w:r w:rsidR="003C205F">
        <w:t xml:space="preserve"> každoročně v ČR rostou a výdaje v ÚK se na tom podílí poslední roky od 1,2-1,5%. To jsou 2. nejmenší výdaje mezi kraji. </w:t>
      </w:r>
      <w:r w:rsidR="00360060">
        <w:t>70% výdajů ČR na vědu a výzkum se soustředí v Praze, Středočeském a Jihomoravském kraji.</w:t>
      </w:r>
    </w:p>
    <w:p w:rsidR="003C205F" w:rsidRPr="00957905" w:rsidRDefault="00CC6532" w:rsidP="00957905">
      <w:pPr>
        <w:pStyle w:val="3text"/>
      </w:pPr>
      <w:r>
        <w:rPr>
          <w:i w:val="0"/>
        </w:rPr>
        <w:tab/>
      </w:r>
      <w:r w:rsidR="002F366D" w:rsidRPr="002F366D">
        <w:t>Spotřeba paliv a energie podle kraje místa spotřeby</w:t>
      </w:r>
      <w:r w:rsidR="002F366D">
        <w:rPr>
          <w:i w:val="0"/>
        </w:rPr>
        <w:t xml:space="preserve"> se v posledních letech výrazně nemění. ÚK </w:t>
      </w:r>
      <w:r w:rsidR="002F366D" w:rsidRPr="00957905">
        <w:t>v těchto ukazatelích dominuje, především díky více jak 50% podílu na spotřebě hnědého uhlí v ČR.</w:t>
      </w:r>
    </w:p>
    <w:p w:rsidR="00CC6532" w:rsidRDefault="00957905" w:rsidP="00957905">
      <w:pPr>
        <w:pStyle w:val="3text"/>
      </w:pPr>
      <w:r w:rsidRPr="00957905">
        <w:tab/>
      </w:r>
      <w:r>
        <w:t>Produkce komunálního odpadu se v roce 2010 dostala pod republikový průměr a to na 307 kg na obyvatele (ČR: 317 kg).</w:t>
      </w:r>
      <w:r w:rsidR="003F6D3F" w:rsidRPr="003F6D3F">
        <w:t xml:space="preserve"> </w:t>
      </w:r>
      <w:r w:rsidR="003F6D3F">
        <w:t>P</w:t>
      </w:r>
      <w:r w:rsidR="003F6D3F" w:rsidRPr="003F6D3F">
        <w:t xml:space="preserve">rodukce podnikových odpadů podle sídla podniku </w:t>
      </w:r>
      <w:r w:rsidR="003F6D3F">
        <w:t>klesla v ČR o 0,5%, příznivě vyšel tento indikátor v ÚK, kde produkce klesla o 607 tis. tun (skoro 30%).</w:t>
      </w:r>
    </w:p>
    <w:p w:rsidR="00F1262A" w:rsidRDefault="003F6D3F" w:rsidP="00957905">
      <w:pPr>
        <w:pStyle w:val="3text"/>
      </w:pPr>
      <w:r>
        <w:tab/>
      </w:r>
      <w:r w:rsidR="00F77A03">
        <w:t>Z ukazatele p</w:t>
      </w:r>
      <w:r w:rsidR="0084752D" w:rsidRPr="0084752D">
        <w:t>odíl</w:t>
      </w:r>
      <w:r w:rsidR="00F77A03">
        <w:t>u</w:t>
      </w:r>
      <w:r w:rsidR="0084752D" w:rsidRPr="0084752D">
        <w:t xml:space="preserve"> hlavních způsobů nakládání s</w:t>
      </w:r>
      <w:r w:rsidR="00F77A03">
        <w:t> </w:t>
      </w:r>
      <w:r w:rsidR="0084752D" w:rsidRPr="0084752D">
        <w:t>odpady</w:t>
      </w:r>
      <w:r w:rsidR="00F77A03">
        <w:t xml:space="preserve"> je zajímavý jen nárůst skládkování </w:t>
      </w:r>
      <w:r w:rsidR="00F1262A">
        <w:t xml:space="preserve">v ÚK </w:t>
      </w:r>
      <w:r w:rsidR="00F77A03">
        <w:t xml:space="preserve">v roce 2010 o 25% oproti </w:t>
      </w:r>
      <w:r w:rsidR="00F1262A">
        <w:t>poklesu o 2% v ČR</w:t>
      </w:r>
      <w:r w:rsidR="00F77A03">
        <w:t>.</w:t>
      </w:r>
    </w:p>
    <w:p w:rsidR="00A469CC" w:rsidRDefault="00A469CC" w:rsidP="00F1262A">
      <w:pPr>
        <w:pStyle w:val="2Nadpis"/>
      </w:pPr>
    </w:p>
    <w:p w:rsidR="003F6D3F" w:rsidRDefault="00F1262A" w:rsidP="00F1262A">
      <w:pPr>
        <w:pStyle w:val="2Nadpis"/>
      </w:pPr>
      <w:r w:rsidRPr="00F1262A">
        <w:t>Cíl: Zvyšov</w:t>
      </w:r>
      <w:r>
        <w:t>á</w:t>
      </w:r>
      <w:r w:rsidRPr="00F1262A">
        <w:t>ním kvality dopravní infrastruktury a dopravních služeb podporovat udržitelný ekonomický růst a pracovní mobilitu</w:t>
      </w:r>
    </w:p>
    <w:p w:rsidR="0051169C" w:rsidRDefault="0051169C" w:rsidP="00F1262A">
      <w:pPr>
        <w:pStyle w:val="2Nadpis"/>
      </w:pPr>
    </w:p>
    <w:p w:rsidR="00F1262A" w:rsidRDefault="00F1262A" w:rsidP="0051169C">
      <w:pPr>
        <w:pStyle w:val="3text"/>
      </w:pPr>
      <w:r>
        <w:tab/>
      </w:r>
      <w:r w:rsidRPr="00F1262A">
        <w:t>Počet přepravených osob veřejnou dopravou na obyvatele</w:t>
      </w:r>
      <w:r w:rsidR="0051169C">
        <w:t xml:space="preserve"> v rámci kraje byl 149 (v roce 2010). V posledních letech tento ukazatel lehce klesá. Hlavní podíl na počtu přepravovaných osob má m</w:t>
      </w:r>
      <w:r w:rsidR="0051169C" w:rsidRPr="0051169C">
        <w:t>ěstská hromadná doprava</w:t>
      </w:r>
      <w:r w:rsidR="0051169C">
        <w:t xml:space="preserve"> s 80% dále pak v</w:t>
      </w:r>
      <w:r w:rsidR="0051169C" w:rsidRPr="0051169C">
        <w:t>eřejná autobusová doprava</w:t>
      </w:r>
      <w:r w:rsidR="0051169C">
        <w:t xml:space="preserve"> s 13,5% a ž</w:t>
      </w:r>
      <w:r w:rsidR="0051169C" w:rsidRPr="0051169C">
        <w:t>elezniční doprava</w:t>
      </w:r>
      <w:r w:rsidR="0051169C">
        <w:t xml:space="preserve"> 6,5%.</w:t>
      </w:r>
    </w:p>
    <w:p w:rsidR="0051169C" w:rsidRDefault="0051169C" w:rsidP="0051169C">
      <w:pPr>
        <w:pStyle w:val="3text"/>
      </w:pPr>
      <w:r>
        <w:tab/>
      </w:r>
      <w:r w:rsidRPr="0051169C">
        <w:t>Podíl silniční dopravy na celkové přepravě nákladu bez tranzitu</w:t>
      </w:r>
      <w:r>
        <w:t xml:space="preserve"> klesl v posledních dvou letech </w:t>
      </w:r>
      <w:r w:rsidR="002940E1">
        <w:t xml:space="preserve">o 3-4% </w:t>
      </w:r>
      <w:r>
        <w:t>na 80%. A to především snížením objemu siln</w:t>
      </w:r>
      <w:r w:rsidR="002940E1">
        <w:t>iční nákladní dopravy.</w:t>
      </w:r>
    </w:p>
    <w:p w:rsidR="00A469CC" w:rsidRDefault="00A469CC" w:rsidP="002940E1">
      <w:pPr>
        <w:pStyle w:val="2Nadpis"/>
      </w:pPr>
    </w:p>
    <w:p w:rsidR="002940E1" w:rsidRDefault="002940E1" w:rsidP="002940E1">
      <w:pPr>
        <w:pStyle w:val="2Nadpis"/>
      </w:pPr>
      <w:r w:rsidRPr="002940E1">
        <w:t>Cíl: Snižovat nezaměstnanost s cílem dosáhnout v období 2010-2020 optimálního stavu mezi nabídkou a poptávkou na trhu práce</w:t>
      </w:r>
    </w:p>
    <w:p w:rsidR="00F1262A" w:rsidRPr="00957905" w:rsidRDefault="00F1262A" w:rsidP="00F1262A">
      <w:pPr>
        <w:pStyle w:val="2Nadpis"/>
      </w:pPr>
    </w:p>
    <w:p w:rsidR="00A469CC" w:rsidRPr="00A469CC" w:rsidRDefault="0054145D" w:rsidP="00A469CC">
      <w:pPr>
        <w:pStyle w:val="3text"/>
        <w:rPr>
          <w:lang w:eastAsia="cs-CZ"/>
        </w:rPr>
      </w:pPr>
      <w:r>
        <w:tab/>
      </w:r>
      <w:r w:rsidR="00F01866">
        <w:t>V ÚK je největší nezaměstnanost v</w:t>
      </w:r>
      <w:r w:rsidR="00DC0962">
        <w:t> ČR i přesto, že se snížila</w:t>
      </w:r>
      <w:r w:rsidR="00F01866">
        <w:t xml:space="preserve"> obecná míra nezaměstnanosti z 11,</w:t>
      </w:r>
      <w:r w:rsidR="00DC0962">
        <w:t xml:space="preserve">2 (2010) na 9,9 (2011). </w:t>
      </w:r>
      <w:r w:rsidR="00A469CC" w:rsidRPr="00A469CC">
        <w:rPr>
          <w:lang w:eastAsia="cs-CZ"/>
        </w:rPr>
        <w:t>Podíl dlouhodobě nezaměstnaných na celkovém počtu nezaměstnaných</w:t>
      </w:r>
      <w:r w:rsidR="00A469CC">
        <w:rPr>
          <w:lang w:eastAsia="cs-CZ"/>
        </w:rPr>
        <w:t xml:space="preserve"> se již několik let drží nad 50% (56% v roce 2010).</w:t>
      </w:r>
    </w:p>
    <w:p w:rsidR="00A469CC" w:rsidRPr="00B55470" w:rsidRDefault="00A469CC" w:rsidP="00A469CC">
      <w:pPr>
        <w:pStyle w:val="2Nadpis"/>
      </w:pPr>
      <w:r w:rsidRPr="00B55470">
        <w:lastRenderedPageBreak/>
        <w:t>Cíl: Zvýšit vzdělanost, kvalifikaci a konkurenceschopnost obyvatelstva Ústeckého kraje na trhu práce</w:t>
      </w:r>
    </w:p>
    <w:p w:rsidR="003C205F" w:rsidRDefault="003C205F" w:rsidP="00C20E05">
      <w:pPr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i/>
          <w:lang w:val="cs-CZ"/>
        </w:rPr>
      </w:pPr>
    </w:p>
    <w:p w:rsidR="00A469CC" w:rsidRPr="00125BB7" w:rsidRDefault="00A469CC" w:rsidP="00125BB7">
      <w:pPr>
        <w:pStyle w:val="3text"/>
      </w:pPr>
      <w:r>
        <w:rPr>
          <w:i w:val="0"/>
        </w:rPr>
        <w:tab/>
      </w:r>
      <w:r w:rsidR="00C0286B" w:rsidRPr="00C0286B">
        <w:t>Podíl obyvatel starších 15 let s dokončeným vysokoškolským vzděláním</w:t>
      </w:r>
      <w:r w:rsidR="00C0286B">
        <w:rPr>
          <w:i w:val="0"/>
        </w:rPr>
        <w:t xml:space="preserve"> </w:t>
      </w:r>
      <w:r w:rsidR="00C0286B" w:rsidRPr="007917DD">
        <w:t>každým rokem stoupá, ale přesto ÚK patří k nejhorším krajům v této statistice. Průměr ČR je 14,5% a v ÚK je jen 7,8%</w:t>
      </w:r>
      <w:r w:rsidR="00C0286B">
        <w:rPr>
          <w:i w:val="0"/>
        </w:rPr>
        <w:t xml:space="preserve"> </w:t>
      </w:r>
      <w:r w:rsidR="00C0286B" w:rsidRPr="00125BB7">
        <w:t>vysokoškolsky vzdělaných lidí starších 15 let (v roce 2010).</w:t>
      </w:r>
    </w:p>
    <w:p w:rsidR="00125BB7" w:rsidRDefault="00125BB7" w:rsidP="00125BB7">
      <w:pPr>
        <w:pStyle w:val="3text"/>
      </w:pPr>
      <w:r w:rsidRPr="00125BB7">
        <w:tab/>
        <w:t>Podíl obyvatel starších 15 let se základním vzděláním a bez vzdělání</w:t>
      </w:r>
      <w:r>
        <w:t xml:space="preserve"> sice klesá</w:t>
      </w:r>
      <w:r w:rsidR="005C6C34">
        <w:t xml:space="preserve"> (22,4% v roce 2010)</w:t>
      </w:r>
      <w:r>
        <w:t xml:space="preserve">, ale podobně jako u předešlého ukazatele patří ÚK k nejhorším krajům v této </w:t>
      </w:r>
      <w:r w:rsidR="00AE6AC6">
        <w:t>statistice.</w:t>
      </w:r>
    </w:p>
    <w:p w:rsidR="00AE6AC6" w:rsidRDefault="00AE6AC6" w:rsidP="00125BB7">
      <w:pPr>
        <w:pStyle w:val="3text"/>
      </w:pPr>
      <w:r>
        <w:tab/>
        <w:t xml:space="preserve">Podíl absolventů škol mezi </w:t>
      </w:r>
      <w:r w:rsidRPr="00AE6AC6">
        <w:t>uchazeči o zaměstnání</w:t>
      </w:r>
      <w:r>
        <w:t xml:space="preserve"> lehce klesá, ale pohybuje se kolem 6% ze všech neumístěních uchazečů o zaměstnání.</w:t>
      </w:r>
    </w:p>
    <w:p w:rsidR="00D05D6F" w:rsidRDefault="00D05D6F" w:rsidP="00AE6AC6">
      <w:pPr>
        <w:pStyle w:val="2Nadpis"/>
      </w:pPr>
    </w:p>
    <w:p w:rsidR="00AE6AC6" w:rsidRDefault="00AE6AC6" w:rsidP="00AE6AC6">
      <w:pPr>
        <w:pStyle w:val="2Nadpis"/>
      </w:pPr>
      <w:r w:rsidRPr="00AE6AC6">
        <w:t>Cíl: Rozvíjet potenciál kraje v oblasti cestovního ruchu a zvýšit povědomí o kraji jakožto cíli pro cestovní ruch</w:t>
      </w:r>
    </w:p>
    <w:p w:rsidR="00AE6AC6" w:rsidRDefault="00AE6AC6" w:rsidP="00AE6AC6">
      <w:pPr>
        <w:pStyle w:val="2Nadpis"/>
      </w:pPr>
    </w:p>
    <w:p w:rsidR="00AE6AC6" w:rsidRPr="00125BB7" w:rsidRDefault="00AE6AC6" w:rsidP="00AE6AC6">
      <w:pPr>
        <w:pStyle w:val="3text"/>
      </w:pPr>
      <w:r>
        <w:tab/>
      </w:r>
      <w:r w:rsidR="00773968" w:rsidRPr="00773968">
        <w:t>Počet lůžek v hromadných ubytovacích zařízeních na 1000 obyvatel</w:t>
      </w:r>
      <w:r w:rsidR="00773968">
        <w:t xml:space="preserve"> klesl z 23 (2009) na 20,5 (2010). </w:t>
      </w:r>
      <w:r w:rsidR="00D05D6F">
        <w:t>Počet obyvatel se změnil jen minimálně, ale s</w:t>
      </w:r>
      <w:r w:rsidR="00773968">
        <w:t>nížil se počet lůžek v ubytovacích zařízení o  2103.</w:t>
      </w:r>
    </w:p>
    <w:p w:rsidR="0054145D" w:rsidRPr="00D05D6F" w:rsidRDefault="00773968" w:rsidP="00D05D6F">
      <w:pPr>
        <w:pStyle w:val="3text"/>
      </w:pPr>
      <w:r>
        <w:rPr>
          <w:i w:val="0"/>
        </w:rPr>
        <w:tab/>
      </w:r>
      <w:r w:rsidRPr="00773968">
        <w:t>Počet hostů (rezidentů a nerezidentů) v ubytovacích zařízeních na 1000 obyvatel</w:t>
      </w:r>
      <w:r w:rsidR="00D05D6F">
        <w:rPr>
          <w:i w:val="0"/>
        </w:rPr>
        <w:t xml:space="preserve"> také klesl a to z 401,8 (2009) na 346,3 (2010). V roce 2010 navštívilo hromadná ubytovací zařízení o 46411 lidí </w:t>
      </w:r>
      <w:r w:rsidR="00D05D6F" w:rsidRPr="00D05D6F">
        <w:t>méně než v roce 2009.</w:t>
      </w:r>
    </w:p>
    <w:p w:rsidR="00D05D6F" w:rsidRPr="00D05D6F" w:rsidRDefault="00D05D6F" w:rsidP="00D05D6F">
      <w:pPr>
        <w:pStyle w:val="3text"/>
      </w:pPr>
      <w:r w:rsidRPr="00D05D6F">
        <w:tab/>
        <w:t xml:space="preserve">Čisté využití lůžek a pokojů v hromadných ubytovacích zařízeních </w:t>
      </w:r>
      <w:r>
        <w:t>klesá již několik let a to na 17,8% v roce 2010. V roce 2006 bylo využití 21,6.</w:t>
      </w:r>
    </w:p>
    <w:p w:rsidR="00A469CC" w:rsidRPr="003C205F" w:rsidRDefault="00A469CC" w:rsidP="00C20E05">
      <w:pPr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i/>
          <w:lang w:val="cs-CZ"/>
        </w:rPr>
      </w:pPr>
    </w:p>
    <w:p w:rsidR="00DC430A" w:rsidRDefault="00DC430A" w:rsidP="00825272">
      <w:pPr>
        <w:pStyle w:val="1Nadpis"/>
      </w:pPr>
      <w:r w:rsidRPr="00DC430A">
        <w:t>Prioritní osa II: Vyvážené využívání území</w:t>
      </w:r>
    </w:p>
    <w:p w:rsidR="00D05D6F" w:rsidRDefault="00D05D6F" w:rsidP="00D05D6F">
      <w:pPr>
        <w:pStyle w:val="2Nadpis"/>
      </w:pPr>
      <w:r w:rsidRPr="00D05D6F">
        <w:t>Cíl: Aktivní účast kraje v diskusích a rozhodování o územních limitech těžby</w:t>
      </w:r>
    </w:p>
    <w:p w:rsidR="00D05D6F" w:rsidRDefault="00D05D6F" w:rsidP="00D05D6F">
      <w:pPr>
        <w:pStyle w:val="3text"/>
      </w:pPr>
    </w:p>
    <w:p w:rsidR="00D05D6F" w:rsidRDefault="00D05D6F" w:rsidP="00D05D6F">
      <w:pPr>
        <w:pStyle w:val="3text"/>
      </w:pPr>
      <w:r>
        <w:tab/>
        <w:t>Indikátory nejsou</w:t>
      </w:r>
    </w:p>
    <w:p w:rsidR="00D05D6F" w:rsidRDefault="00D05D6F" w:rsidP="00D05D6F">
      <w:pPr>
        <w:pStyle w:val="2Nadpis"/>
      </w:pPr>
    </w:p>
    <w:p w:rsidR="00D05D6F" w:rsidRDefault="00D05D6F" w:rsidP="00D05D6F">
      <w:pPr>
        <w:pStyle w:val="2Nadpis"/>
      </w:pPr>
      <w:r w:rsidRPr="00B55470">
        <w:t>Cíl: Zlepšit stav a měst a obcí včetně zvýšení využití poškozených a nevyužívaných ploch a objektů (</w:t>
      </w:r>
      <w:proofErr w:type="spellStart"/>
      <w:r w:rsidRPr="00B55470">
        <w:t>brownfields</w:t>
      </w:r>
      <w:proofErr w:type="spellEnd"/>
      <w:r w:rsidRPr="00B55470">
        <w:t>)</w:t>
      </w:r>
    </w:p>
    <w:p w:rsidR="00D05D6F" w:rsidRDefault="00D05D6F" w:rsidP="00D05D6F">
      <w:pPr>
        <w:pStyle w:val="3text"/>
      </w:pPr>
    </w:p>
    <w:p w:rsidR="007A0A0F" w:rsidRDefault="007A0A0F" w:rsidP="00825C78">
      <w:pPr>
        <w:pStyle w:val="3text"/>
      </w:pPr>
      <w:r>
        <w:tab/>
      </w:r>
      <w:r w:rsidRPr="007A0A0F">
        <w:t>Počet neobydlených domů nezpůsobilých k bydlení ku celkovému počtu domů</w:t>
      </w:r>
      <w:r>
        <w:t xml:space="preserve"> je 1,6. Tento indikátor se počítá jednou za 10 let a v roce 2011 (stejně jako v roce 2001). ÚK je pod republikovým průměrem, který je 1,8.</w:t>
      </w:r>
    </w:p>
    <w:p w:rsidR="00825C78" w:rsidRPr="00825C78" w:rsidRDefault="007A0A0F" w:rsidP="00825C78">
      <w:pPr>
        <w:pStyle w:val="3text"/>
        <w:rPr>
          <w:lang w:eastAsia="cs-CZ"/>
        </w:rPr>
      </w:pPr>
      <w:r>
        <w:rPr>
          <w:lang w:eastAsia="cs-CZ"/>
        </w:rPr>
        <w:tab/>
      </w:r>
      <w:r w:rsidR="00825C78" w:rsidRPr="00825C78">
        <w:rPr>
          <w:lang w:eastAsia="cs-CZ"/>
        </w:rPr>
        <w:t>Počet dokončených bytů na 1000 obyvatel</w:t>
      </w:r>
      <w:r w:rsidR="00825C78">
        <w:rPr>
          <w:lang w:eastAsia="cs-CZ"/>
        </w:rPr>
        <w:t xml:space="preserve"> se v posledních 5 letech pohyboval mezi 1,2 a 1,4. V roce 2010 byl na 1000 obyvatel dokončen 1,3 bytu. A to je jedna z nejnižších hodnot v ČR.</w:t>
      </w:r>
    </w:p>
    <w:p w:rsidR="00F83131" w:rsidRDefault="00F83131" w:rsidP="007A0A0F">
      <w:pPr>
        <w:pStyle w:val="2Nadpis"/>
      </w:pPr>
    </w:p>
    <w:p w:rsidR="00176245" w:rsidRDefault="00176245" w:rsidP="007A0A0F">
      <w:pPr>
        <w:pStyle w:val="2Nadpis"/>
      </w:pPr>
      <w:r w:rsidRPr="00176245">
        <w:t>Cíl: Využít nástrojů územního plánování k snižování dopravní náročnosti obsluhy území</w:t>
      </w:r>
    </w:p>
    <w:p w:rsidR="00176245" w:rsidRDefault="00176245" w:rsidP="007A0A0F">
      <w:pPr>
        <w:pStyle w:val="2Nadpis"/>
      </w:pPr>
    </w:p>
    <w:p w:rsidR="00176245" w:rsidRDefault="00176245" w:rsidP="00176245">
      <w:pPr>
        <w:pStyle w:val="3text"/>
      </w:pPr>
      <w:r>
        <w:tab/>
        <w:t>Nejsou nové údaje</w:t>
      </w:r>
    </w:p>
    <w:p w:rsidR="00176245" w:rsidRDefault="00176245" w:rsidP="00176245">
      <w:pPr>
        <w:pStyle w:val="3text"/>
      </w:pPr>
    </w:p>
    <w:p w:rsidR="00176245" w:rsidRDefault="00176245" w:rsidP="00176245">
      <w:pPr>
        <w:pStyle w:val="2Nadpis"/>
      </w:pPr>
      <w:r w:rsidRPr="00176245">
        <w:lastRenderedPageBreak/>
        <w:t>Cíl: Zlepšit ekologické funkce krajiny a posílit její ochranu (zejména ZPF) před zástavbou</w:t>
      </w:r>
    </w:p>
    <w:p w:rsidR="00176245" w:rsidRDefault="00176245" w:rsidP="00176245">
      <w:pPr>
        <w:pStyle w:val="2Nadpis"/>
      </w:pPr>
    </w:p>
    <w:p w:rsidR="00176245" w:rsidRDefault="00176245" w:rsidP="00176245">
      <w:pPr>
        <w:pStyle w:val="3text"/>
        <w:rPr>
          <w:lang w:eastAsia="cs-CZ"/>
        </w:rPr>
      </w:pPr>
      <w:r>
        <w:tab/>
      </w:r>
      <w:r w:rsidRPr="00176245">
        <w:rPr>
          <w:lang w:eastAsia="cs-CZ"/>
        </w:rPr>
        <w:t>Podíl orné půdy, zastavěných a vybraných ostatních ploch na celkové rozloze</w:t>
      </w:r>
      <w:r>
        <w:rPr>
          <w:lang w:eastAsia="cs-CZ"/>
        </w:rPr>
        <w:t xml:space="preserve"> se v</w:t>
      </w:r>
      <w:r w:rsidR="002C0964">
        <w:rPr>
          <w:lang w:eastAsia="cs-CZ"/>
        </w:rPr>
        <w:t xml:space="preserve"> posledních letech příliš neměnil. V roce 2010 byla výměra orné půdy 34,2%, </w:t>
      </w:r>
      <w:r w:rsidR="002C0964" w:rsidRPr="002C0964">
        <w:rPr>
          <w:lang w:eastAsia="cs-CZ"/>
        </w:rPr>
        <w:t>zastavěn</w:t>
      </w:r>
      <w:r w:rsidR="002C0964">
        <w:rPr>
          <w:lang w:eastAsia="cs-CZ"/>
        </w:rPr>
        <w:t>ých ploch</w:t>
      </w:r>
      <w:r w:rsidR="002C0964" w:rsidRPr="002C0964">
        <w:rPr>
          <w:lang w:eastAsia="cs-CZ"/>
        </w:rPr>
        <w:t xml:space="preserve"> a nádvoří</w:t>
      </w:r>
      <w:r w:rsidR="002C0964">
        <w:rPr>
          <w:lang w:eastAsia="cs-CZ"/>
        </w:rPr>
        <w:t xml:space="preserve"> 1,8% a </w:t>
      </w:r>
      <w:r w:rsidR="002C0964" w:rsidRPr="002C0964">
        <w:rPr>
          <w:lang w:eastAsia="cs-CZ"/>
        </w:rPr>
        <w:t>ostatní</w:t>
      </w:r>
      <w:r w:rsidR="002C0964">
        <w:rPr>
          <w:lang w:eastAsia="cs-CZ"/>
        </w:rPr>
        <w:t>ch ploch 14,4%.</w:t>
      </w:r>
    </w:p>
    <w:p w:rsidR="002C0964" w:rsidRDefault="002C0964" w:rsidP="00176245">
      <w:pPr>
        <w:pStyle w:val="3text"/>
        <w:rPr>
          <w:lang w:eastAsia="cs-CZ"/>
        </w:rPr>
      </w:pPr>
      <w:r>
        <w:rPr>
          <w:lang w:eastAsia="cs-CZ"/>
        </w:rPr>
        <w:tab/>
      </w:r>
      <w:r w:rsidRPr="002C0964">
        <w:rPr>
          <w:lang w:eastAsia="cs-CZ"/>
        </w:rPr>
        <w:t>Míra lesnatosti</w:t>
      </w:r>
      <w:r>
        <w:rPr>
          <w:lang w:eastAsia="cs-CZ"/>
        </w:rPr>
        <w:t xml:space="preserve"> v ÚK v posledních letech stoupá o jednu desetinu procenta za rok na 30,2% (2010) z plochy kraje.</w:t>
      </w:r>
      <w:r w:rsidR="008F037B">
        <w:rPr>
          <w:lang w:eastAsia="cs-CZ"/>
        </w:rPr>
        <w:t xml:space="preserve"> Plocha lesů v ČR zabírá 33,69%.</w:t>
      </w:r>
    </w:p>
    <w:p w:rsidR="002C0964" w:rsidRPr="00B55470" w:rsidRDefault="002C0964" w:rsidP="00176245">
      <w:pPr>
        <w:pStyle w:val="3text"/>
        <w:rPr>
          <w:rFonts w:ascii="Calibri" w:hAnsi="Calibri" w:cs="Calibri"/>
          <w:lang w:eastAsia="cs-CZ"/>
        </w:rPr>
      </w:pPr>
      <w:r>
        <w:rPr>
          <w:lang w:eastAsia="cs-CZ"/>
        </w:rPr>
        <w:tab/>
        <w:t>Podíl listna</w:t>
      </w:r>
      <w:r w:rsidRPr="002C0964">
        <w:rPr>
          <w:lang w:eastAsia="cs-CZ"/>
        </w:rPr>
        <w:t>tých dřevin na celkovém zalesňování</w:t>
      </w:r>
      <w:r>
        <w:rPr>
          <w:lang w:eastAsia="cs-CZ"/>
        </w:rPr>
        <w:t xml:space="preserve"> roste každým rokem až na 39,1% v roce 2010.</w:t>
      </w:r>
    </w:p>
    <w:p w:rsidR="00D05D6F" w:rsidRDefault="00D05D6F" w:rsidP="00D05D6F">
      <w:pPr>
        <w:pStyle w:val="2Nadpis"/>
      </w:pPr>
    </w:p>
    <w:p w:rsidR="00176245" w:rsidRPr="00DC430A" w:rsidRDefault="00176245" w:rsidP="00D05D6F">
      <w:pPr>
        <w:pStyle w:val="2Nadpis"/>
      </w:pPr>
    </w:p>
    <w:p w:rsidR="00DC430A" w:rsidRDefault="00DC430A" w:rsidP="00825272">
      <w:pPr>
        <w:pStyle w:val="1Nadpis"/>
      </w:pPr>
      <w:r w:rsidRPr="00DC430A">
        <w:t>Prioritní osa II</w:t>
      </w:r>
      <w:r w:rsidR="009634A5">
        <w:t>I: Zdravá a soudržná společnost</w:t>
      </w:r>
    </w:p>
    <w:p w:rsidR="008F037B" w:rsidRDefault="008F037B" w:rsidP="008F037B">
      <w:pPr>
        <w:pStyle w:val="2Nadpis"/>
      </w:pPr>
      <w:r w:rsidRPr="00B55470">
        <w:t>Cíl: Vytváření podmínek pro zlepšení zdraví a životního stylu obyvatel Ústeckého kraje</w:t>
      </w:r>
    </w:p>
    <w:p w:rsidR="008F037B" w:rsidRDefault="008F037B" w:rsidP="006056DD">
      <w:pPr>
        <w:pStyle w:val="3text"/>
      </w:pPr>
    </w:p>
    <w:p w:rsidR="008F037B" w:rsidRPr="006056DD" w:rsidRDefault="008F037B" w:rsidP="006056DD">
      <w:pPr>
        <w:pStyle w:val="3text"/>
        <w:rPr>
          <w:rFonts w:ascii="Calibri" w:eastAsia="Times New Roman" w:hAnsi="Calibri" w:cs="Calibri"/>
          <w:color w:val="000000"/>
          <w:szCs w:val="22"/>
          <w:lang w:eastAsia="cs-CZ"/>
        </w:rPr>
      </w:pPr>
      <w:r>
        <w:tab/>
      </w:r>
      <w:r w:rsidR="006056DD" w:rsidRPr="00B55470">
        <w:rPr>
          <w:rFonts w:ascii="Calibri" w:hAnsi="Calibri" w:cs="ArialMT"/>
        </w:rPr>
        <w:t>Naděje dožití</w:t>
      </w:r>
      <w:r w:rsidR="006056DD">
        <w:rPr>
          <w:rFonts w:cs="ArialMT"/>
        </w:rPr>
        <w:t xml:space="preserve"> se v ÚK každým rokem zvyšuje, ale přesto patří k nejnižším v ČR. V roce 2010 byla u žen</w:t>
      </w:r>
      <w:r w:rsidR="006056DD" w:rsidRPr="006056DD">
        <w:rPr>
          <w:rFonts w:ascii="Calibri" w:hAnsi="Calibri" w:cs="Calibri"/>
          <w:color w:val="000000"/>
          <w:szCs w:val="22"/>
        </w:rPr>
        <w:t xml:space="preserve"> </w:t>
      </w:r>
      <w:r w:rsidR="006056DD" w:rsidRPr="006056DD">
        <w:rPr>
          <w:rFonts w:ascii="Calibri" w:eastAsia="Times New Roman" w:hAnsi="Calibri" w:cs="Calibri"/>
          <w:color w:val="000000"/>
          <w:szCs w:val="22"/>
          <w:lang w:eastAsia="cs-CZ"/>
        </w:rPr>
        <w:t>78,59</w:t>
      </w:r>
      <w:r w:rsidR="006056DD">
        <w:rPr>
          <w:rFonts w:ascii="Calibri" w:eastAsia="Times New Roman" w:hAnsi="Calibri" w:cs="Calibri"/>
          <w:color w:val="000000"/>
          <w:szCs w:val="22"/>
          <w:lang w:eastAsia="cs-CZ"/>
        </w:rPr>
        <w:t xml:space="preserve"> a</w:t>
      </w:r>
      <w:r w:rsidR="006056DD">
        <w:rPr>
          <w:rFonts w:cs="ArialMT"/>
        </w:rPr>
        <w:t xml:space="preserve"> </w:t>
      </w:r>
      <w:r w:rsidR="006056DD">
        <w:rPr>
          <w:rFonts w:ascii="Calibri" w:eastAsia="Times New Roman" w:hAnsi="Calibri" w:cs="Calibri"/>
          <w:color w:val="000000"/>
          <w:szCs w:val="22"/>
          <w:lang w:eastAsia="cs-CZ"/>
        </w:rPr>
        <w:t xml:space="preserve">u mužů </w:t>
      </w:r>
      <w:r w:rsidR="006056DD" w:rsidRPr="006056DD">
        <w:rPr>
          <w:rFonts w:ascii="Calibri" w:eastAsia="Times New Roman" w:hAnsi="Calibri" w:cs="Calibri"/>
          <w:color w:val="000000"/>
          <w:szCs w:val="22"/>
          <w:lang w:eastAsia="cs-CZ"/>
        </w:rPr>
        <w:t>72,25</w:t>
      </w:r>
      <w:r w:rsidR="006056DD">
        <w:rPr>
          <w:rFonts w:ascii="Calibri" w:eastAsia="Times New Roman" w:hAnsi="Calibri" w:cs="Calibri"/>
          <w:color w:val="000000"/>
          <w:szCs w:val="22"/>
          <w:lang w:eastAsia="cs-CZ"/>
        </w:rPr>
        <w:t xml:space="preserve">. Průměrné hodnoty pro ČR jsou: ženy 80,6 a muži 74,4. </w:t>
      </w:r>
    </w:p>
    <w:p w:rsidR="009634A5" w:rsidRDefault="00A42938" w:rsidP="00A42938">
      <w:pPr>
        <w:pStyle w:val="3text"/>
      </w:pPr>
      <w:r>
        <w:tab/>
      </w:r>
      <w:r w:rsidRPr="00A42938">
        <w:t>Standardizovaná míra úmrtnosti celkem a podle příčin úmrtí</w:t>
      </w:r>
      <w:r>
        <w:t xml:space="preserve"> nám ukazuje, že počet zemřelých každým rokem stoupá.</w:t>
      </w:r>
      <w:r w:rsidRPr="00A42938">
        <w:t xml:space="preserve"> </w:t>
      </w:r>
      <w:r>
        <w:t xml:space="preserve">Když vezmeme nejmladší věkovou strukturu obyvatelstva v ÚK, tak je zajímavý ukazatel zemřelých na 1000 obyvatel, který v roce 2010 dosáhl 10,66 a republikový průměr je jen 10,2. </w:t>
      </w:r>
      <w:r w:rsidR="00E23BE0">
        <w:t>Příčiny úmrtí se za posledních pět let mění jen nepatrně.</w:t>
      </w:r>
    </w:p>
    <w:p w:rsidR="009634A5" w:rsidRDefault="00E23BE0" w:rsidP="00340933">
      <w:pPr>
        <w:pStyle w:val="3text"/>
      </w:pPr>
      <w:r>
        <w:tab/>
      </w:r>
      <w:r w:rsidRPr="00E23BE0">
        <w:t>Počet potratů</w:t>
      </w:r>
      <w:r w:rsidR="00340933">
        <w:t xml:space="preserve"> (samovolné potraty i uměle přerušené těhotenství)</w:t>
      </w:r>
      <w:r w:rsidRPr="00E23BE0">
        <w:t xml:space="preserve"> na 100 narozených</w:t>
      </w:r>
      <w:r>
        <w:t xml:space="preserve"> postupně klesá, až na 46,52 potratu v roce 2010. </w:t>
      </w:r>
      <w:r w:rsidR="00340933">
        <w:t>V České republice se počet potratů dostal na 33,52 na 100 narozených a ÚK dosahuje v tomto indikátoru nejvyšší číslo v ČR.</w:t>
      </w:r>
    </w:p>
    <w:p w:rsidR="00340933" w:rsidRDefault="00340933" w:rsidP="00340933">
      <w:pPr>
        <w:pStyle w:val="3text"/>
      </w:pPr>
    </w:p>
    <w:p w:rsidR="00340933" w:rsidRDefault="00340933" w:rsidP="00340933">
      <w:pPr>
        <w:pStyle w:val="2Nadpis"/>
      </w:pPr>
      <w:r w:rsidRPr="00CF07C9">
        <w:t>Cíl: Snížit výskyt rizikového chování v populaci a snížit kriminalitu na území Ústeckého kraje</w:t>
      </w:r>
    </w:p>
    <w:p w:rsidR="00340933" w:rsidRDefault="00340933" w:rsidP="00340933">
      <w:pPr>
        <w:pStyle w:val="2Nadpis"/>
      </w:pPr>
    </w:p>
    <w:p w:rsidR="004179FC" w:rsidRDefault="004179FC" w:rsidP="004179FC">
      <w:pPr>
        <w:pStyle w:val="3text"/>
      </w:pPr>
      <w:r>
        <w:tab/>
      </w:r>
      <w:r w:rsidRPr="00CF07C9">
        <w:rPr>
          <w:rFonts w:ascii="Calibri" w:hAnsi="Calibri" w:cs="Calibri"/>
        </w:rPr>
        <w:t>Podíl domácností s čistým příjmem pod hranicí životního minima</w:t>
      </w:r>
      <w:r>
        <w:t xml:space="preserve"> byl v roce 2010 v ÚK 6,2%. Je to 2. největší podíl v ČR, kde se pohyboval kolem 3,6%.</w:t>
      </w:r>
    </w:p>
    <w:p w:rsidR="004179FC" w:rsidRDefault="004179FC" w:rsidP="004179FC">
      <w:pPr>
        <w:pStyle w:val="3text"/>
      </w:pPr>
      <w:r>
        <w:tab/>
      </w:r>
      <w:r w:rsidRPr="00CF07C9">
        <w:rPr>
          <w:rFonts w:ascii="Calibri" w:hAnsi="Calibri" w:cs="Calibri"/>
        </w:rPr>
        <w:t xml:space="preserve">Počet </w:t>
      </w:r>
      <w:r>
        <w:rPr>
          <w:rFonts w:ascii="Calibri" w:hAnsi="Calibri" w:cs="Calibri"/>
        </w:rPr>
        <w:t xml:space="preserve">zjištěných </w:t>
      </w:r>
      <w:r w:rsidRPr="00CF07C9">
        <w:rPr>
          <w:rFonts w:ascii="Calibri" w:hAnsi="Calibri" w:cs="Calibri"/>
        </w:rPr>
        <w:t>trestných činů podle druhu trestného činu na 1000 obyvatel</w:t>
      </w:r>
      <w:r>
        <w:rPr>
          <w:rFonts w:ascii="Calibri" w:hAnsi="Calibri" w:cs="Calibri"/>
        </w:rPr>
        <w:t xml:space="preserve"> </w:t>
      </w:r>
      <w:r>
        <w:t>má klesající tendenci na 35,</w:t>
      </w:r>
      <w:r w:rsidR="001A6749">
        <w:t>21 v roce 2010.</w:t>
      </w:r>
      <w:r w:rsidR="0085512F">
        <w:t xml:space="preserve"> Z toho mají všechny</w:t>
      </w:r>
      <w:r w:rsidR="00F0660F">
        <w:t xml:space="preserve"> sledované</w:t>
      </w:r>
      <w:r w:rsidR="0085512F">
        <w:t xml:space="preserve"> zločiny</w:t>
      </w:r>
      <w:r w:rsidR="00F0660F">
        <w:t xml:space="preserve"> (</w:t>
      </w:r>
      <w:r w:rsidR="00F0660F" w:rsidRPr="00F0660F">
        <w:rPr>
          <w:rFonts w:ascii="Calibri" w:eastAsia="Times New Roman" w:hAnsi="Calibri" w:cs="Calibri"/>
          <w:color w:val="000000"/>
          <w:szCs w:val="22"/>
          <w:lang w:eastAsia="cs-CZ"/>
        </w:rPr>
        <w:t>vraždy</w:t>
      </w:r>
      <w:r w:rsidR="00F0660F">
        <w:rPr>
          <w:rFonts w:ascii="Calibri" w:eastAsia="Times New Roman" w:hAnsi="Calibri" w:cs="Calibri"/>
          <w:color w:val="000000"/>
          <w:szCs w:val="22"/>
          <w:lang w:eastAsia="cs-CZ"/>
        </w:rPr>
        <w:t>,</w:t>
      </w:r>
      <w:r w:rsidR="00F0660F" w:rsidRPr="00F0660F">
        <w:rPr>
          <w:rFonts w:ascii="Calibri" w:eastAsia="Times New Roman" w:hAnsi="Calibri" w:cs="Calibri"/>
          <w:color w:val="000000"/>
          <w:szCs w:val="22"/>
          <w:lang w:eastAsia="cs-CZ"/>
        </w:rPr>
        <w:t xml:space="preserve"> znásilnění</w:t>
      </w:r>
      <w:r w:rsidR="00F0660F">
        <w:rPr>
          <w:rFonts w:ascii="Calibri" w:eastAsia="Times New Roman" w:hAnsi="Calibri" w:cs="Calibri"/>
          <w:color w:val="000000"/>
          <w:szCs w:val="22"/>
          <w:lang w:eastAsia="cs-CZ"/>
        </w:rPr>
        <w:t>,</w:t>
      </w:r>
      <w:r w:rsidR="00F0660F" w:rsidRPr="00F0660F">
        <w:rPr>
          <w:rFonts w:ascii="Calibri" w:eastAsia="Times New Roman" w:hAnsi="Calibri" w:cs="Calibri"/>
          <w:color w:val="000000"/>
          <w:szCs w:val="22"/>
          <w:lang w:eastAsia="cs-CZ"/>
        </w:rPr>
        <w:t xml:space="preserve"> loupeže</w:t>
      </w:r>
      <w:r w:rsidR="00F0660F">
        <w:rPr>
          <w:rFonts w:ascii="Calibri" w:eastAsia="Times New Roman" w:hAnsi="Calibri" w:cs="Calibri"/>
          <w:color w:val="000000"/>
          <w:szCs w:val="22"/>
          <w:lang w:eastAsia="cs-CZ"/>
        </w:rPr>
        <w:t>,</w:t>
      </w:r>
      <w:r w:rsidR="00F0660F" w:rsidRPr="00F0660F">
        <w:rPr>
          <w:rFonts w:ascii="Calibri" w:eastAsia="Times New Roman" w:hAnsi="Calibri" w:cs="Calibri"/>
          <w:color w:val="000000"/>
          <w:szCs w:val="22"/>
          <w:lang w:eastAsia="cs-CZ"/>
        </w:rPr>
        <w:t xml:space="preserve"> hospodářská kriminalita</w:t>
      </w:r>
      <w:r w:rsidR="00F0660F">
        <w:t>)</w:t>
      </w:r>
      <w:r w:rsidR="0085512F">
        <w:t xml:space="preserve"> klesají nebo stagnují, kromě vloupání do bytů</w:t>
      </w:r>
      <w:r w:rsidR="00F0660F">
        <w:t>, které se dostalo z 0,99 (2009) na 1,18 (2010) zločinu na 1000 obyvatel</w:t>
      </w:r>
      <w:r w:rsidR="0085512F">
        <w:t xml:space="preserve">. </w:t>
      </w:r>
    </w:p>
    <w:p w:rsidR="00B2116A" w:rsidRPr="00CF07C9" w:rsidRDefault="00B2116A" w:rsidP="004179FC">
      <w:pPr>
        <w:pStyle w:val="3text"/>
        <w:rPr>
          <w:rFonts w:ascii="Calibri" w:hAnsi="Calibri" w:cs="Calibri"/>
        </w:rPr>
      </w:pPr>
    </w:p>
    <w:p w:rsidR="00B2116A" w:rsidRPr="002211F5" w:rsidRDefault="00B2116A" w:rsidP="002211F5">
      <w:pPr>
        <w:pStyle w:val="2Nadpis"/>
      </w:pPr>
      <w:r w:rsidRPr="002211F5">
        <w:t>Cíl: Zajištění rovných příležitostí pro občany kraje při vstupu do vzdělávání a na trh práce</w:t>
      </w:r>
    </w:p>
    <w:p w:rsidR="00340933" w:rsidRDefault="00340933" w:rsidP="00340933">
      <w:pPr>
        <w:pStyle w:val="3text"/>
      </w:pPr>
    </w:p>
    <w:p w:rsidR="00504394" w:rsidRDefault="00504394" w:rsidP="00504394">
      <w:pPr>
        <w:pStyle w:val="3text"/>
      </w:pPr>
      <w:r>
        <w:tab/>
      </w:r>
      <w:r w:rsidR="00E47A3F">
        <w:t>Ukazatele míry</w:t>
      </w:r>
      <w:r>
        <w:t xml:space="preserve"> zaměstnanosti podle pohlaví, věku a vzdělání</w:t>
      </w:r>
      <w:r w:rsidR="00E47A3F">
        <w:t xml:space="preserve"> nám ukazují klesající míru zaměstnanosti na 51,1 % z celkového počtu obyvatel kraje. Klesá i počet zaměstnaných (v tis. ob.) v kraji z 365,7 (2009) na 361,9 (2010). Tento úbytek je nejvíce vidět na kategoriích: zaměstnaní 15-29 let, </w:t>
      </w:r>
      <w:r w:rsidR="00E47A3F" w:rsidRPr="00E47A3F">
        <w:t>základní</w:t>
      </w:r>
      <w:r w:rsidR="00E47A3F">
        <w:t xml:space="preserve"> vzdělání</w:t>
      </w:r>
      <w:r w:rsidR="00E47A3F" w:rsidRPr="00E47A3F">
        <w:t xml:space="preserve"> a bez vzdělání</w:t>
      </w:r>
      <w:r w:rsidR="00E47A3F">
        <w:t xml:space="preserve"> a </w:t>
      </w:r>
      <w:r w:rsidR="00E47A3F" w:rsidRPr="00E47A3F">
        <w:t>střední</w:t>
      </w:r>
      <w:r w:rsidR="00E47A3F">
        <w:t xml:space="preserve"> vzdělání</w:t>
      </w:r>
      <w:r w:rsidR="00E47A3F" w:rsidRPr="00E47A3F">
        <w:t xml:space="preserve"> bez maturity</w:t>
      </w:r>
      <w:r w:rsidR="00E47A3F">
        <w:t>. Naopak nejvýraznější vzrůstající tendenci v počtu zaměstnaných mají kategorie: zaměstnaní 60 a více a s vysokoškolským vzděláním.</w:t>
      </w:r>
    </w:p>
    <w:p w:rsidR="002211F5" w:rsidRDefault="002211F5" w:rsidP="002211F5">
      <w:pPr>
        <w:pStyle w:val="3text"/>
      </w:pPr>
      <w:r>
        <w:tab/>
        <w:t>Počty uchazečů o zaměstnání ze skupin obyvatelstva, které jsou nejvíce ohrožené nezaměstnaností rostou především u osob</w:t>
      </w:r>
      <w:r w:rsidRPr="002211F5">
        <w:t xml:space="preserve"> z vyšších věkových skupin</w:t>
      </w:r>
      <w:r>
        <w:t xml:space="preserve"> (nad 55 let) a u občanů</w:t>
      </w:r>
      <w:r w:rsidRPr="002211F5">
        <w:t xml:space="preserve"> s nízkou </w:t>
      </w:r>
      <w:r w:rsidRPr="002211F5">
        <w:lastRenderedPageBreak/>
        <w:t>úrovní kvalifikace nebo bez kvalifikace</w:t>
      </w:r>
      <w:r>
        <w:t xml:space="preserve">. Naopak stagnující až klesající je počet uchazečů o zaměstnání </w:t>
      </w:r>
      <w:r w:rsidRPr="002211F5">
        <w:t>se zdr</w:t>
      </w:r>
      <w:r>
        <w:t>avotním p</w:t>
      </w:r>
      <w:r w:rsidRPr="002211F5">
        <w:t>ostižením</w:t>
      </w:r>
      <w:r>
        <w:t xml:space="preserve"> a </w:t>
      </w:r>
      <w:r w:rsidRPr="002211F5">
        <w:t>absolvent</w:t>
      </w:r>
      <w:r>
        <w:t>ů</w:t>
      </w:r>
      <w:r w:rsidRPr="002211F5">
        <w:t xml:space="preserve"> škol a mladiství</w:t>
      </w:r>
      <w:r>
        <w:t>.</w:t>
      </w:r>
    </w:p>
    <w:p w:rsidR="002211F5" w:rsidRDefault="002211F5" w:rsidP="002211F5">
      <w:pPr>
        <w:pStyle w:val="2Nadpis"/>
      </w:pPr>
    </w:p>
    <w:p w:rsidR="002211F5" w:rsidRDefault="002211F5" w:rsidP="002211F5">
      <w:pPr>
        <w:pStyle w:val="2Nadpis"/>
      </w:pPr>
      <w:r>
        <w:t xml:space="preserve">Cíl: Zlepšit kvalitu, efektivitu a transparentnost veřejné správy a zajistit efektivní nakládání s veřejnými prostředky </w:t>
      </w:r>
    </w:p>
    <w:p w:rsidR="002211F5" w:rsidRDefault="002211F5" w:rsidP="002211F5">
      <w:pPr>
        <w:pStyle w:val="3text"/>
      </w:pPr>
    </w:p>
    <w:p w:rsidR="000168D4" w:rsidRDefault="000168D4" w:rsidP="000168D4">
      <w:pPr>
        <w:pStyle w:val="3text"/>
      </w:pPr>
      <w:r>
        <w:tab/>
        <w:t xml:space="preserve">Podíl municipalit zapojené do realizace metody místní Agenda 21 v ÚK je v roce 2012 5,1% z celkového počtu zapojených municipalit. </w:t>
      </w:r>
    </w:p>
    <w:p w:rsidR="000168D4" w:rsidRDefault="000168D4" w:rsidP="002211F5">
      <w:pPr>
        <w:pStyle w:val="3text"/>
      </w:pPr>
    </w:p>
    <w:p w:rsidR="005220F6" w:rsidRDefault="005220F6" w:rsidP="005220F6">
      <w:pPr>
        <w:pStyle w:val="2Nadpis"/>
      </w:pPr>
      <w:r w:rsidRPr="005220F6">
        <w:t>Cíl: Zlepšit image kraje jako místa pro kvalitní život</w:t>
      </w:r>
    </w:p>
    <w:p w:rsidR="005220F6" w:rsidRDefault="005220F6" w:rsidP="005220F6">
      <w:pPr>
        <w:pStyle w:val="2Nadpis"/>
      </w:pPr>
    </w:p>
    <w:p w:rsidR="005220F6" w:rsidRDefault="005220F6" w:rsidP="005220F6">
      <w:pPr>
        <w:pStyle w:val="3text"/>
      </w:pPr>
      <w:r>
        <w:tab/>
      </w:r>
      <w:r w:rsidRPr="005220F6">
        <w:t>Migrační saldo Ústeckého kraje</w:t>
      </w:r>
      <w:r>
        <w:t xml:space="preserve"> bylo sice v roce 2008 kladné a to 3489 obyvatel, ale v dalších letech už je záporné a to -422 (2009) a -516 (2010) obyvatel.</w:t>
      </w:r>
    </w:p>
    <w:p w:rsidR="002211F5" w:rsidRPr="00504394" w:rsidRDefault="002211F5" w:rsidP="00504394">
      <w:pPr>
        <w:pStyle w:val="3text"/>
        <w:rPr>
          <w:sz w:val="24"/>
          <w:szCs w:val="24"/>
        </w:rPr>
      </w:pPr>
    </w:p>
    <w:p w:rsidR="00DC430A" w:rsidRDefault="00DC430A" w:rsidP="00825272">
      <w:pPr>
        <w:pStyle w:val="1Nadpis"/>
      </w:pPr>
      <w:r w:rsidRPr="00DC430A">
        <w:t>Prioritní osa IV: Kvalitní životní prostředí</w:t>
      </w:r>
    </w:p>
    <w:p w:rsidR="005220F6" w:rsidRDefault="005220F6" w:rsidP="005220F6">
      <w:pPr>
        <w:pStyle w:val="2Nadpis"/>
      </w:pPr>
      <w:r>
        <w:t>Cíl: Zlepšit kvalitu ovzduší v Ústeckém kraji</w:t>
      </w:r>
    </w:p>
    <w:p w:rsidR="009E68AF" w:rsidRDefault="009E68AF" w:rsidP="005220F6">
      <w:pPr>
        <w:pStyle w:val="2Nadpis"/>
      </w:pPr>
    </w:p>
    <w:p w:rsidR="009E68AF" w:rsidRDefault="009E68AF" w:rsidP="009E68AF">
      <w:pPr>
        <w:pStyle w:val="3text"/>
      </w:pPr>
      <w:r>
        <w:tab/>
      </w:r>
      <w:r w:rsidRPr="009E68AF">
        <w:t>Podíl oblastí se zhoršenou kvalitou ovzduší</w:t>
      </w:r>
      <w:r>
        <w:t xml:space="preserve"> byl v roce 2005 62,6%. Bohužel novější údaje nejsou k dispozici.</w:t>
      </w:r>
    </w:p>
    <w:p w:rsidR="009E68AF" w:rsidRDefault="009E68AF" w:rsidP="009E68AF">
      <w:pPr>
        <w:pStyle w:val="3text"/>
      </w:pPr>
      <w:r>
        <w:tab/>
        <w:t>Emise prašných částic, NO</w:t>
      </w:r>
      <w:r w:rsidRPr="009E68AF">
        <w:rPr>
          <w:vertAlign w:val="subscript"/>
        </w:rPr>
        <w:t>X</w:t>
      </w:r>
      <w:r>
        <w:t xml:space="preserve">  i  SO</w:t>
      </w:r>
      <w:r w:rsidRPr="009E68AF">
        <w:rPr>
          <w:vertAlign w:val="subscript"/>
        </w:rPr>
        <w:t>2</w:t>
      </w:r>
      <w:r>
        <w:t xml:space="preserve"> mají dlouhodobě klesající tendenci až na </w:t>
      </w:r>
      <w:r w:rsidRPr="009E68AF">
        <w:t>0,96</w:t>
      </w:r>
      <w:r>
        <w:t xml:space="preserve">, </w:t>
      </w:r>
      <w:r w:rsidRPr="009E68AF">
        <w:t>10,77</w:t>
      </w:r>
      <w:r>
        <w:t xml:space="preserve"> a </w:t>
      </w:r>
      <w:r w:rsidRPr="009E68AF">
        <w:t>10,87</w:t>
      </w:r>
      <w:r>
        <w:t xml:space="preserve"> v </w:t>
      </w:r>
      <w:r w:rsidRPr="009E68AF">
        <w:t>t</w:t>
      </w:r>
      <w:r>
        <w:t xml:space="preserve">unách na </w:t>
      </w:r>
      <w:r w:rsidRPr="009E68AF">
        <w:t>km</w:t>
      </w:r>
      <w:r w:rsidRPr="009E68AF">
        <w:rPr>
          <w:vertAlign w:val="superscript"/>
        </w:rPr>
        <w:t>2</w:t>
      </w:r>
      <w:r>
        <w:t>. Přesto zůstává v těchto statistikách ÚK dlouhodobě nejhorší v ČR.</w:t>
      </w:r>
    </w:p>
    <w:p w:rsidR="005220F6" w:rsidRDefault="005220F6" w:rsidP="005220F6">
      <w:pPr>
        <w:pStyle w:val="2Nadpis"/>
      </w:pPr>
    </w:p>
    <w:p w:rsidR="009E68AF" w:rsidRDefault="009E68AF" w:rsidP="009E68AF">
      <w:pPr>
        <w:pStyle w:val="2Nadpis"/>
      </w:pPr>
      <w:r>
        <w:t>Cíl: Zajištění efektivní ochrany životního prostředí včetně odpovídajícího financování/investic ochrany životního prostředí</w:t>
      </w:r>
    </w:p>
    <w:p w:rsidR="009E68AF" w:rsidRDefault="009E68AF" w:rsidP="009E68AF">
      <w:pPr>
        <w:pStyle w:val="2Nadpis"/>
      </w:pPr>
    </w:p>
    <w:p w:rsidR="009E68AF" w:rsidRDefault="009E68AF" w:rsidP="009E68AF">
      <w:pPr>
        <w:pStyle w:val="3text"/>
      </w:pPr>
      <w:r>
        <w:tab/>
      </w:r>
      <w:r w:rsidRPr="009E68AF">
        <w:t>Investiční výdaje na ochranu životního prostředí ku HDP</w:t>
      </w:r>
      <w:r w:rsidR="002914E3">
        <w:t xml:space="preserve"> poté co v roce 2009 klesly na 0,47% v roce 2010 stouply na 0,52</w:t>
      </w:r>
      <w:r w:rsidR="004445E1">
        <w:t>% HDP kraje.</w:t>
      </w:r>
      <w:r w:rsidRPr="009E68AF">
        <w:t xml:space="preserve"> </w:t>
      </w:r>
      <w:r w:rsidR="004445E1">
        <w:t>N</w:t>
      </w:r>
      <w:r w:rsidRPr="009E68AF">
        <w:t>einvestiční výdaje na ochranu životního prostředí</w:t>
      </w:r>
      <w:r>
        <w:t xml:space="preserve"> </w:t>
      </w:r>
      <w:r w:rsidR="004445E1">
        <w:t xml:space="preserve">podobně jako investiční výdaje klesly v roce 2009 a stouply v roce 2010 na </w:t>
      </w:r>
      <w:r w:rsidR="004445E1" w:rsidRPr="004445E1">
        <w:t>8</w:t>
      </w:r>
      <w:r w:rsidR="004445E1">
        <w:t> </w:t>
      </w:r>
      <w:r w:rsidR="004445E1" w:rsidRPr="004445E1">
        <w:t>482</w:t>
      </w:r>
      <w:r w:rsidR="004445E1">
        <w:t xml:space="preserve"> mil. Kč. To řadí ÚK na 2. místo v ČR v n</w:t>
      </w:r>
      <w:r w:rsidR="004445E1" w:rsidRPr="009E68AF">
        <w:t>einvestiční</w:t>
      </w:r>
      <w:r w:rsidR="004445E1">
        <w:t>ch výdajích.</w:t>
      </w:r>
    </w:p>
    <w:p w:rsidR="004445E1" w:rsidRDefault="004445E1" w:rsidP="004445E1">
      <w:pPr>
        <w:pStyle w:val="3text"/>
      </w:pPr>
      <w:r>
        <w:tab/>
        <w:t xml:space="preserve">Podíl obyvatel v domech napojených na kanalizaci s koncovou čistírnou odpadních vod </w:t>
      </w:r>
      <w:r w:rsidR="00D130DE">
        <w:t>se pohybuje v ÚK kolem 77,5% z celkového počtu obyvatel ÚK. V roce 2010 stoupl podíl na 77,63%.</w:t>
      </w:r>
    </w:p>
    <w:p w:rsidR="00D130DE" w:rsidRDefault="00D130DE" w:rsidP="004445E1">
      <w:pPr>
        <w:pStyle w:val="3text"/>
      </w:pPr>
      <w:r>
        <w:tab/>
        <w:t>Podíl velkoplošných chráněných území na rozloze kraje se dlouhodobě nemění a je 26,4% rozlohy ÚK.</w:t>
      </w:r>
    </w:p>
    <w:p w:rsidR="00D130DE" w:rsidRDefault="00D130DE" w:rsidP="004445E1">
      <w:pPr>
        <w:pStyle w:val="3text"/>
      </w:pPr>
    </w:p>
    <w:p w:rsidR="00D130DE" w:rsidRPr="004445E1" w:rsidRDefault="00D130DE" w:rsidP="00D130DE">
      <w:pPr>
        <w:pStyle w:val="2Nadpis"/>
      </w:pPr>
      <w:r w:rsidRPr="00D130DE">
        <w:t>Cíl: Motivovat soukromý sektor k</w:t>
      </w:r>
      <w:r>
        <w:t xml:space="preserve"> vyšší odpovědnosti za stav životní</w:t>
      </w:r>
      <w:r w:rsidRPr="00D130DE">
        <w:t>ho prostředí v kraji</w:t>
      </w:r>
    </w:p>
    <w:p w:rsidR="005220F6" w:rsidRDefault="005220F6" w:rsidP="00D130DE">
      <w:pPr>
        <w:pStyle w:val="3text"/>
      </w:pPr>
    </w:p>
    <w:p w:rsidR="00D130DE" w:rsidRPr="00DC430A" w:rsidRDefault="00D130DE" w:rsidP="00D130DE">
      <w:pPr>
        <w:pStyle w:val="3text"/>
      </w:pPr>
      <w:r>
        <w:tab/>
        <w:t>Indikátory nejsou</w:t>
      </w:r>
    </w:p>
    <w:p w:rsidR="00E376C8" w:rsidRDefault="00E376C8"/>
    <w:p w:rsidR="00D130DE" w:rsidRDefault="00D130DE" w:rsidP="00D130DE">
      <w:pPr>
        <w:pStyle w:val="2Nadpis"/>
      </w:pPr>
      <w:r>
        <w:t xml:space="preserve">Cíl: Rozvoj environmentálního vzdělávání výchovy a osvěty (EVVO) v Ústeckém kraji </w:t>
      </w:r>
    </w:p>
    <w:p w:rsidR="00D130DE" w:rsidRDefault="00D130DE" w:rsidP="00D130DE">
      <w:pPr>
        <w:pStyle w:val="2Nadpis"/>
      </w:pPr>
    </w:p>
    <w:p w:rsidR="00D130DE" w:rsidRDefault="00D130DE" w:rsidP="00D130DE">
      <w:pPr>
        <w:pStyle w:val="3text"/>
      </w:pPr>
      <w:r>
        <w:tab/>
        <w:t>Indikátory nejsou</w:t>
      </w:r>
    </w:p>
    <w:sectPr w:rsidR="00D130DE" w:rsidSect="00E3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3097"/>
    <w:multiLevelType w:val="hybridMultilevel"/>
    <w:tmpl w:val="93E41D7C"/>
    <w:lvl w:ilvl="0" w:tplc="4760B3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7B77B4"/>
    <w:multiLevelType w:val="hybridMultilevel"/>
    <w:tmpl w:val="038435A0"/>
    <w:lvl w:ilvl="0" w:tplc="18C0F18A">
      <w:start w:val="1"/>
      <w:numFmt w:val="bullet"/>
      <w:lvlText w:val=""/>
      <w:lvlJc w:val="left"/>
      <w:pPr>
        <w:tabs>
          <w:tab w:val="num" w:pos="911"/>
        </w:tabs>
        <w:ind w:left="911" w:hanging="284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DC430A"/>
    <w:rsid w:val="000168D4"/>
    <w:rsid w:val="00125BB7"/>
    <w:rsid w:val="00176245"/>
    <w:rsid w:val="00197CF9"/>
    <w:rsid w:val="001A6749"/>
    <w:rsid w:val="002211F5"/>
    <w:rsid w:val="002914E3"/>
    <w:rsid w:val="002940E1"/>
    <w:rsid w:val="002C0964"/>
    <w:rsid w:val="002F366D"/>
    <w:rsid w:val="00340933"/>
    <w:rsid w:val="00360060"/>
    <w:rsid w:val="003C205F"/>
    <w:rsid w:val="003E3002"/>
    <w:rsid w:val="003F6D3F"/>
    <w:rsid w:val="004179FC"/>
    <w:rsid w:val="004445E1"/>
    <w:rsid w:val="00504394"/>
    <w:rsid w:val="0051169C"/>
    <w:rsid w:val="005220F6"/>
    <w:rsid w:val="0054145D"/>
    <w:rsid w:val="005C6C34"/>
    <w:rsid w:val="006056DD"/>
    <w:rsid w:val="006A216D"/>
    <w:rsid w:val="006E3358"/>
    <w:rsid w:val="00773968"/>
    <w:rsid w:val="007917DD"/>
    <w:rsid w:val="007A0A0F"/>
    <w:rsid w:val="007B7E75"/>
    <w:rsid w:val="007C19BA"/>
    <w:rsid w:val="00825272"/>
    <w:rsid w:val="00825C78"/>
    <w:rsid w:val="0084752D"/>
    <w:rsid w:val="0085512F"/>
    <w:rsid w:val="008C56B2"/>
    <w:rsid w:val="008F037B"/>
    <w:rsid w:val="00957905"/>
    <w:rsid w:val="009634A5"/>
    <w:rsid w:val="009E68AF"/>
    <w:rsid w:val="00A42938"/>
    <w:rsid w:val="00A469CC"/>
    <w:rsid w:val="00AE1E92"/>
    <w:rsid w:val="00AE6AC6"/>
    <w:rsid w:val="00B2116A"/>
    <w:rsid w:val="00B94F1D"/>
    <w:rsid w:val="00C0286B"/>
    <w:rsid w:val="00C20E05"/>
    <w:rsid w:val="00C47A77"/>
    <w:rsid w:val="00CC3F0E"/>
    <w:rsid w:val="00CC6532"/>
    <w:rsid w:val="00D0105B"/>
    <w:rsid w:val="00D05D6F"/>
    <w:rsid w:val="00D130DE"/>
    <w:rsid w:val="00D35ABC"/>
    <w:rsid w:val="00DB0ECA"/>
    <w:rsid w:val="00DC0962"/>
    <w:rsid w:val="00DC430A"/>
    <w:rsid w:val="00DF3344"/>
    <w:rsid w:val="00E23BE0"/>
    <w:rsid w:val="00E31B1C"/>
    <w:rsid w:val="00E376C8"/>
    <w:rsid w:val="00E47A3F"/>
    <w:rsid w:val="00E77278"/>
    <w:rsid w:val="00F0018B"/>
    <w:rsid w:val="00F01866"/>
    <w:rsid w:val="00F0660F"/>
    <w:rsid w:val="00F1262A"/>
    <w:rsid w:val="00F77A03"/>
    <w:rsid w:val="00F83131"/>
    <w:rsid w:val="00FE4D98"/>
    <w:rsid w:val="00FE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30A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Corbel" w:eastAsia="SimSun" w:hAnsi="Corbel" w:cs="Times New Roman"/>
      <w:szCs w:val="20"/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430A"/>
    <w:pPr>
      <w:ind w:left="720"/>
      <w:contextualSpacing/>
    </w:pPr>
  </w:style>
  <w:style w:type="paragraph" w:customStyle="1" w:styleId="1Nadpis">
    <w:name w:val="1Nadpis"/>
    <w:basedOn w:val="Normln"/>
    <w:qFormat/>
    <w:rsid w:val="00825272"/>
    <w:pPr>
      <w:tabs>
        <w:tab w:val="num" w:pos="660"/>
      </w:tabs>
      <w:spacing w:after="120"/>
      <w:jc w:val="both"/>
    </w:pPr>
    <w:rPr>
      <w:rFonts w:ascii="Times New Roman" w:hAnsi="Times New Roman"/>
      <w:b/>
      <w:sz w:val="32"/>
      <w:szCs w:val="32"/>
      <w:lang w:val="cs-CZ"/>
    </w:rPr>
  </w:style>
  <w:style w:type="paragraph" w:customStyle="1" w:styleId="2Nadpis">
    <w:name w:val="2Nadpis"/>
    <w:basedOn w:val="Normln"/>
    <w:qFormat/>
    <w:rsid w:val="00825272"/>
    <w:pPr>
      <w:overflowPunct/>
      <w:autoSpaceDE/>
      <w:autoSpaceDN/>
      <w:adjustRightInd/>
      <w:spacing w:line="240" w:lineRule="auto"/>
      <w:jc w:val="both"/>
      <w:textAlignment w:val="auto"/>
    </w:pPr>
    <w:rPr>
      <w:rFonts w:ascii="Calibri" w:eastAsia="Times New Roman" w:hAnsi="Calibri" w:cs="Calibri"/>
      <w:bCs/>
      <w:color w:val="00B0F0"/>
      <w:sz w:val="24"/>
      <w:szCs w:val="24"/>
      <w:lang w:val="cs-CZ" w:eastAsia="cs-CZ"/>
    </w:rPr>
  </w:style>
  <w:style w:type="paragraph" w:customStyle="1" w:styleId="3text">
    <w:name w:val="3text"/>
    <w:basedOn w:val="Normln"/>
    <w:qFormat/>
    <w:rsid w:val="00825272"/>
    <w:pPr>
      <w:tabs>
        <w:tab w:val="num" w:pos="660"/>
      </w:tabs>
      <w:spacing w:after="120"/>
      <w:jc w:val="both"/>
    </w:pPr>
    <w:rPr>
      <w:rFonts w:asciiTheme="minorHAnsi" w:hAnsiTheme="minorHAnsi" w:cstheme="minorHAnsi"/>
      <w:i/>
      <w:lang w:val="cs-CZ"/>
    </w:rPr>
  </w:style>
  <w:style w:type="paragraph" w:customStyle="1" w:styleId="Default">
    <w:name w:val="Default"/>
    <w:rsid w:val="00504394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13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30D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30DE"/>
    <w:rPr>
      <w:rFonts w:ascii="Corbel" w:eastAsia="SimSun" w:hAnsi="Corbel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0D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0DE"/>
    <w:rPr>
      <w:rFonts w:ascii="Tahoma" w:eastAsia="SimSu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5</Pages>
  <Words>1414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Ústecký kraj</dc:creator>
  <cp:lastModifiedBy>Ústecký kraj</cp:lastModifiedBy>
  <cp:revision>22</cp:revision>
  <dcterms:created xsi:type="dcterms:W3CDTF">2012-08-21T06:16:00Z</dcterms:created>
  <dcterms:modified xsi:type="dcterms:W3CDTF">2012-09-04T10:49:00Z</dcterms:modified>
</cp:coreProperties>
</file>